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6CE" w:rsidRPr="00440300" w:rsidRDefault="002E36CE">
      <w:pPr>
        <w:pStyle w:val="Textoindependiente"/>
        <w:rPr>
          <w:rFonts w:ascii="Times New Roman"/>
          <w:sz w:val="20"/>
          <w:lang w:val="ca-ES"/>
        </w:rPr>
      </w:pPr>
    </w:p>
    <w:p w:rsidR="002E36CE" w:rsidRPr="00440300" w:rsidRDefault="00A975B5">
      <w:pPr>
        <w:pStyle w:val="Textoindependiente"/>
        <w:spacing w:before="233"/>
        <w:ind w:left="3999" w:right="4800"/>
        <w:jc w:val="center"/>
        <w:rPr>
          <w:rFonts w:ascii="Lucida Sans" w:hAnsi="Lucida Sans"/>
          <w:b/>
        </w:rPr>
      </w:pPr>
      <w:r>
        <w:rPr>
          <w:rFonts w:ascii="Lucida Sans" w:hAnsi="Lucida Sans"/>
          <w:b/>
        </w:rPr>
        <w:t>ME</w:t>
      </w:r>
      <w:bookmarkStart w:id="0" w:name="_GoBack"/>
      <w:bookmarkEnd w:id="0"/>
      <w:r>
        <w:rPr>
          <w:rFonts w:ascii="Lucida Sans" w:hAnsi="Lucida Sans"/>
          <w:b/>
        </w:rPr>
        <w:t>MORIA</w:t>
      </w:r>
    </w:p>
    <w:p w:rsidR="002E36CE" w:rsidRPr="00440300" w:rsidRDefault="002E36CE">
      <w:pPr>
        <w:pStyle w:val="Textoindependiente"/>
        <w:rPr>
          <w:rFonts w:ascii="Lucida Sans"/>
          <w:b/>
          <w:sz w:val="26"/>
          <w:lang w:val="ca-ES"/>
        </w:rPr>
      </w:pPr>
    </w:p>
    <w:p w:rsidR="002E36CE" w:rsidRPr="00440300" w:rsidRDefault="002E36CE">
      <w:pPr>
        <w:pStyle w:val="Textoindependiente"/>
        <w:rPr>
          <w:rFonts w:ascii="Lucida Sans"/>
          <w:b/>
          <w:sz w:val="26"/>
          <w:lang w:val="ca-ES"/>
        </w:rPr>
      </w:pPr>
    </w:p>
    <w:p w:rsidR="002E36CE" w:rsidRPr="00440300" w:rsidRDefault="00A975B5">
      <w:pPr>
        <w:pStyle w:val="Prrafodelista"/>
        <w:numPr>
          <w:ilvl w:val="0"/>
          <w:numId w:val="4"/>
        </w:numPr>
        <w:tabs>
          <w:tab w:val="left" w:pos="336"/>
        </w:tabs>
        <w:spacing w:before="218"/>
        <w:ind w:hanging="213"/>
        <w:rPr>
          <w:rFonts w:ascii="Lucida Sans" w:hAnsi="Lucida Sans"/>
          <w:b/>
        </w:rPr>
      </w:pPr>
      <w:r>
        <w:rPr>
          <w:rFonts w:ascii="Lucida Sans" w:hAnsi="Lucida Sans"/>
          <w:b/>
        </w:rPr>
        <w:t>Actividad de la Fundación</w:t>
      </w:r>
    </w:p>
    <w:p w:rsidR="002E36CE" w:rsidRPr="00440300" w:rsidRDefault="002E36CE">
      <w:pPr>
        <w:pStyle w:val="Textoindependiente"/>
        <w:spacing w:before="10"/>
        <w:rPr>
          <w:rFonts w:ascii="Lucida Sans"/>
          <w:b/>
          <w:sz w:val="24"/>
          <w:lang w:val="ca-ES"/>
        </w:rPr>
      </w:pPr>
    </w:p>
    <w:p w:rsidR="002E36CE" w:rsidRPr="00440300" w:rsidRDefault="00A975B5">
      <w:pPr>
        <w:pStyle w:val="Textoindependiente"/>
        <w:spacing w:before="1" w:line="259" w:lineRule="auto"/>
        <w:ind w:left="263" w:right="973"/>
        <w:jc w:val="both"/>
      </w:pPr>
      <w:r>
        <w:t>La Fundación tiene por objeto y finalidad el fomento, desarrollo, protección y promoción de actividades deportivas, en especial el fútbol base, así como culturales y sociales, y en general el mecenazgo de actividades basadas en los principios de utilidad común y desarrollo integral de la persona.</w:t>
      </w:r>
    </w:p>
    <w:p w:rsidR="002E36CE" w:rsidRPr="00440300" w:rsidRDefault="002E36CE">
      <w:pPr>
        <w:pStyle w:val="Textoindependiente"/>
        <w:spacing w:before="6"/>
        <w:rPr>
          <w:sz w:val="23"/>
          <w:lang w:val="ca-ES"/>
        </w:rPr>
      </w:pPr>
    </w:p>
    <w:p w:rsidR="002E36CE" w:rsidRPr="00440300" w:rsidRDefault="00A975B5">
      <w:pPr>
        <w:pStyle w:val="Textoindependiente"/>
        <w:spacing w:line="259" w:lineRule="auto"/>
        <w:ind w:left="263" w:right="974"/>
        <w:jc w:val="both"/>
      </w:pPr>
      <w:r>
        <w:t>La Fundación Damm tiene un compromiso con la sociedad y muy especialmente con la juventud, apoya el deporte base y amplía nuestra colaboración en actividades culturales de gran interés social.</w:t>
      </w:r>
    </w:p>
    <w:p w:rsidR="002E36CE" w:rsidRPr="00440300" w:rsidRDefault="002E36CE">
      <w:pPr>
        <w:pStyle w:val="Textoindependiente"/>
        <w:spacing w:before="5"/>
        <w:rPr>
          <w:sz w:val="23"/>
          <w:lang w:val="ca-ES"/>
        </w:rPr>
      </w:pPr>
    </w:p>
    <w:p w:rsidR="002E36CE" w:rsidRPr="00440300" w:rsidRDefault="00A975B5">
      <w:pPr>
        <w:pStyle w:val="Textoindependiente"/>
        <w:spacing w:before="1" w:line="259" w:lineRule="auto"/>
        <w:ind w:left="263" w:right="974"/>
        <w:jc w:val="both"/>
      </w:pPr>
      <w:r>
        <w:t>El apoyo a causas nobles, proyectos altruistas, la colaboración con instituciones culturales centenarias y el fomento de eventos sociales de primer orden constituyen los pilares de nuestra contribución colectiva como parte de un grupo empresarial de primer nivel con un liderazgo indiscutible en nuestro sector en Cataluña.</w:t>
      </w:r>
    </w:p>
    <w:p w:rsidR="002E36CE" w:rsidRPr="00440300" w:rsidRDefault="002E36CE">
      <w:pPr>
        <w:pStyle w:val="Textoindependiente"/>
        <w:spacing w:before="4"/>
        <w:rPr>
          <w:sz w:val="23"/>
          <w:lang w:val="ca-ES"/>
        </w:rPr>
      </w:pPr>
    </w:p>
    <w:p w:rsidR="002E36CE" w:rsidRPr="00440300" w:rsidRDefault="00A975B5">
      <w:pPr>
        <w:pStyle w:val="Textoindependiente"/>
        <w:spacing w:line="259" w:lineRule="auto"/>
        <w:ind w:left="263" w:right="972"/>
        <w:jc w:val="both"/>
      </w:pPr>
      <w:r>
        <w:t>En este ejercicio 2018, la actividad principal ha sido el apoyo al fútbol base, con las diferentes categorías de equipos del C.F. Damm, financiado en su totalidad por la Fundación. Sin embargo, la Fundación Damm también colabora otorgando ayudas a otras entidades de promoción deportiva.</w:t>
      </w:r>
    </w:p>
    <w:p w:rsidR="002E36CE" w:rsidRPr="00440300" w:rsidRDefault="002E36CE">
      <w:pPr>
        <w:pStyle w:val="Textoindependiente"/>
        <w:spacing w:before="6"/>
        <w:rPr>
          <w:sz w:val="23"/>
          <w:lang w:val="ca-ES"/>
        </w:rPr>
      </w:pPr>
    </w:p>
    <w:p w:rsidR="002E36CE" w:rsidRPr="00440300" w:rsidRDefault="00A975B5">
      <w:pPr>
        <w:pStyle w:val="Textoindependiente"/>
        <w:spacing w:line="259" w:lineRule="auto"/>
        <w:ind w:left="263" w:right="975"/>
        <w:jc w:val="both"/>
      </w:pPr>
      <w:r>
        <w:t>Por otra parte, la Fundación está comprometida con la cultura: contribuye con instituciones de gran interés social de actividades teatrales, musicales, artísticas o educativas para que pueda llegar a todos los ciudadanos.</w:t>
      </w:r>
    </w:p>
    <w:p w:rsidR="002E36CE" w:rsidRPr="00440300" w:rsidRDefault="002E36CE">
      <w:pPr>
        <w:pStyle w:val="Textoindependiente"/>
        <w:spacing w:before="5"/>
        <w:rPr>
          <w:sz w:val="23"/>
          <w:lang w:val="ca-ES"/>
        </w:rPr>
      </w:pPr>
    </w:p>
    <w:p w:rsidR="002E36CE" w:rsidRPr="00440300" w:rsidRDefault="00A975B5">
      <w:pPr>
        <w:pStyle w:val="Textoindependiente"/>
        <w:ind w:left="263"/>
        <w:jc w:val="both"/>
      </w:pPr>
      <w:r>
        <w:t>Por último, la Fundación también coopera con otras entidades con fines sociales y</w:t>
      </w:r>
    </w:p>
    <w:p w:rsidR="002E36CE" w:rsidRPr="00440300" w:rsidRDefault="00A975B5">
      <w:pPr>
        <w:pStyle w:val="Textoindependiente"/>
        <w:spacing w:before="21"/>
        <w:ind w:left="263"/>
        <w:jc w:val="both"/>
      </w:pPr>
      <w:r>
        <w:t>de ayuda a las personas más desprotegidas.</w:t>
      </w:r>
    </w:p>
    <w:p w:rsidR="002E36CE" w:rsidRPr="00440300" w:rsidRDefault="002E36CE">
      <w:pPr>
        <w:pStyle w:val="Textoindependiente"/>
        <w:rPr>
          <w:sz w:val="26"/>
          <w:lang w:val="ca-ES"/>
        </w:rPr>
      </w:pPr>
    </w:p>
    <w:p w:rsidR="002E36CE" w:rsidRPr="00440300" w:rsidRDefault="002E36CE">
      <w:pPr>
        <w:pStyle w:val="Textoindependiente"/>
        <w:spacing w:before="6"/>
        <w:rPr>
          <w:lang w:val="ca-ES"/>
        </w:rPr>
      </w:pPr>
    </w:p>
    <w:p w:rsidR="002E36CE" w:rsidRPr="00440300" w:rsidRDefault="00A975B5">
      <w:pPr>
        <w:pStyle w:val="Prrafodelista"/>
        <w:numPr>
          <w:ilvl w:val="0"/>
          <w:numId w:val="4"/>
        </w:numPr>
        <w:tabs>
          <w:tab w:val="left" w:pos="370"/>
        </w:tabs>
        <w:ind w:left="369" w:hanging="247"/>
        <w:rPr>
          <w:rFonts w:ascii="Lucida Sans" w:hAnsi="Lucida Sans"/>
          <w:b/>
        </w:rPr>
      </w:pPr>
      <w:r>
        <w:rPr>
          <w:rFonts w:ascii="Lucida Sans" w:hAnsi="Lucida Sans"/>
          <w:b/>
        </w:rPr>
        <w:t>Bases de presentación de las cuentas anuales</w:t>
      </w:r>
    </w:p>
    <w:p w:rsidR="002E36CE" w:rsidRPr="00440300" w:rsidRDefault="00A975B5">
      <w:pPr>
        <w:pStyle w:val="Textoindependiente"/>
        <w:spacing w:before="226" w:line="259" w:lineRule="auto"/>
        <w:ind w:left="263" w:right="978"/>
        <w:jc w:val="both"/>
      </w:pPr>
      <w:r>
        <w:t>Con arreglo a lo previsto en las normas de elaboración de las cuentas anuales, en relación con la Memoria, no se incluyen ni rellenan los apartados cuya información no sea significativa o aplicable.</w:t>
      </w:r>
    </w:p>
    <w:p w:rsidR="002E36CE" w:rsidRPr="00440300" w:rsidRDefault="002E36CE">
      <w:pPr>
        <w:pStyle w:val="Textoindependiente"/>
        <w:rPr>
          <w:sz w:val="26"/>
          <w:lang w:val="ca-ES"/>
        </w:rPr>
      </w:pPr>
    </w:p>
    <w:p w:rsidR="002E36CE" w:rsidRPr="00440300" w:rsidRDefault="002E36CE">
      <w:pPr>
        <w:pStyle w:val="Textoindependiente"/>
        <w:spacing w:before="7"/>
        <w:rPr>
          <w:sz w:val="20"/>
          <w:lang w:val="ca-ES"/>
        </w:rPr>
      </w:pPr>
    </w:p>
    <w:p w:rsidR="002E36CE" w:rsidRPr="00440300" w:rsidRDefault="00A975B5">
      <w:pPr>
        <w:pStyle w:val="Prrafodelista"/>
        <w:numPr>
          <w:ilvl w:val="1"/>
          <w:numId w:val="4"/>
        </w:numPr>
        <w:tabs>
          <w:tab w:val="left" w:pos="552"/>
        </w:tabs>
        <w:ind w:hanging="429"/>
        <w:rPr>
          <w:rFonts w:ascii="Lucida Sans" w:hAnsi="Lucida Sans"/>
          <w:b/>
        </w:rPr>
      </w:pPr>
      <w:r>
        <w:rPr>
          <w:rFonts w:ascii="Lucida Sans" w:hAnsi="Lucida Sans"/>
          <w:b/>
        </w:rPr>
        <w:t>Imagen fiel y marco normativo de información financiera aplicable a la Fundación</w:t>
      </w:r>
    </w:p>
    <w:p w:rsidR="002E36CE" w:rsidRPr="00440300" w:rsidRDefault="002E36CE">
      <w:pPr>
        <w:pStyle w:val="Textoindependiente"/>
        <w:spacing w:before="11"/>
        <w:rPr>
          <w:rFonts w:ascii="Lucida Sans"/>
          <w:b/>
          <w:sz w:val="24"/>
          <w:lang w:val="ca-ES"/>
        </w:rPr>
      </w:pPr>
    </w:p>
    <w:p w:rsidR="002E36CE" w:rsidRPr="00440300" w:rsidRDefault="00A975B5" w:rsidP="00A975B5">
      <w:pPr>
        <w:pStyle w:val="Textoindependiente"/>
        <w:spacing w:line="259" w:lineRule="auto"/>
        <w:ind w:left="263" w:right="978"/>
        <w:jc w:val="both"/>
      </w:pPr>
      <w:r>
        <w:t>Las cuentas anuales adjuntas se han preparado a partir de los registros contables de la Fundación y se presentan con arreglo al marco normativo de información financiera aplicable a la entidad, de forma que muestran la imagen fiel del patrimonio, la situación financiera, los resultados de la Fundación y los flujos de efectivo producidos durante el ejercicio correspondiente. Estas cuentas anuales se someterán a la aprobación del Patronato y se estima que serán aprobadas sin ninguna modificación. Por otra parte, las cuentas anuales del ejercicio anual terminado el 31 de diciembre de 2017 fueron aprobadas por la Junta del Patronato de la Fundación en fecha 25 de junio de 2018.</w:t>
      </w:r>
    </w:p>
    <w:p w:rsidR="002E36CE" w:rsidRPr="00440300" w:rsidRDefault="002E36CE">
      <w:pPr>
        <w:pStyle w:val="Textoindependiente"/>
        <w:spacing w:before="5"/>
        <w:rPr>
          <w:sz w:val="23"/>
          <w:lang w:val="ca-ES"/>
        </w:rPr>
      </w:pPr>
    </w:p>
    <w:p w:rsidR="002E36CE" w:rsidRPr="00440300" w:rsidRDefault="00A975B5">
      <w:pPr>
        <w:pStyle w:val="Textoindependiente"/>
        <w:spacing w:line="259" w:lineRule="auto"/>
        <w:ind w:left="263" w:right="974"/>
        <w:jc w:val="both"/>
      </w:pPr>
      <w:r>
        <w:lastRenderedPageBreak/>
        <w:t>A 31 de diciembre de 2018, el marco normativo de información financiera aplicable a la Fundación es el establecido por:</w:t>
      </w:r>
    </w:p>
    <w:p w:rsidR="002E36CE" w:rsidRPr="00440300" w:rsidRDefault="002E36CE">
      <w:pPr>
        <w:pStyle w:val="Textoindependiente"/>
        <w:spacing w:before="6"/>
        <w:rPr>
          <w:lang w:val="ca-ES"/>
        </w:rPr>
      </w:pPr>
    </w:p>
    <w:p w:rsidR="002E36CE" w:rsidRPr="00440300" w:rsidRDefault="00A975B5">
      <w:pPr>
        <w:pStyle w:val="Prrafodelista"/>
        <w:numPr>
          <w:ilvl w:val="2"/>
          <w:numId w:val="4"/>
        </w:numPr>
        <w:tabs>
          <w:tab w:val="left" w:pos="829"/>
          <w:tab w:val="left" w:pos="830"/>
        </w:tabs>
        <w:ind w:left="878" w:hanging="360"/>
        <w:rPr>
          <w:rFonts w:ascii="Symbol" w:hAnsi="Symbol"/>
        </w:rPr>
      </w:pPr>
      <w:r>
        <w:t>La Ley 4/2008 de 24 de abril para asociaciones y fundaciones catalanas.</w:t>
      </w:r>
    </w:p>
    <w:p w:rsidR="002E36CE" w:rsidRPr="00440300" w:rsidRDefault="00A975B5">
      <w:pPr>
        <w:pStyle w:val="Prrafodelista"/>
        <w:numPr>
          <w:ilvl w:val="2"/>
          <w:numId w:val="4"/>
        </w:numPr>
        <w:tabs>
          <w:tab w:val="left" w:pos="830"/>
        </w:tabs>
        <w:spacing w:before="247" w:line="259" w:lineRule="auto"/>
        <w:ind w:left="878" w:right="978" w:hanging="360"/>
        <w:jc w:val="both"/>
        <w:rPr>
          <w:rFonts w:ascii="Symbol" w:hAnsi="Symbol"/>
        </w:rPr>
      </w:pPr>
      <w:r>
        <w:t>El Decreto 259/2008, de 23 de diciembre, por el que se aprueba el Plan de contabilidad de las fundaciones y asociaciones sujetas a la legislación de la Generalitat de Cataluña.</w:t>
      </w:r>
    </w:p>
    <w:p w:rsidR="002E36CE" w:rsidRPr="00440300" w:rsidRDefault="00A975B5">
      <w:pPr>
        <w:pStyle w:val="Prrafodelista"/>
        <w:numPr>
          <w:ilvl w:val="2"/>
          <w:numId w:val="4"/>
        </w:numPr>
        <w:tabs>
          <w:tab w:val="left" w:pos="830"/>
        </w:tabs>
        <w:spacing w:before="224" w:line="259" w:lineRule="auto"/>
        <w:ind w:left="878" w:right="980" w:hanging="360"/>
        <w:jc w:val="both"/>
        <w:rPr>
          <w:rFonts w:ascii="Symbol" w:hAnsi="Symbol"/>
        </w:rPr>
      </w:pPr>
      <w:r>
        <w:t>El Decreto 125/2010 de 14 de septiembre que modifica parcialmente y en algunos aspectos el Plan de contabilidad de fundaciones y asociaciones (Decreto 259/2008).</w:t>
      </w:r>
    </w:p>
    <w:p w:rsidR="002E36CE" w:rsidRPr="00440300" w:rsidRDefault="00A975B5">
      <w:pPr>
        <w:pStyle w:val="Prrafodelista"/>
        <w:numPr>
          <w:ilvl w:val="2"/>
          <w:numId w:val="4"/>
        </w:numPr>
        <w:tabs>
          <w:tab w:val="left" w:pos="829"/>
          <w:tab w:val="left" w:pos="830"/>
        </w:tabs>
        <w:spacing w:before="225"/>
        <w:ind w:left="830" w:hanging="312"/>
        <w:rPr>
          <w:rFonts w:ascii="Symbol" w:hAnsi="Symbol"/>
        </w:rPr>
      </w:pPr>
      <w:r>
        <w:t>Las demás normas de obligado cumplimiento emitidas por el Instituto de</w:t>
      </w:r>
    </w:p>
    <w:p w:rsidR="002E36CE" w:rsidRPr="00440300" w:rsidRDefault="00A975B5">
      <w:pPr>
        <w:pStyle w:val="Textoindependiente"/>
        <w:spacing w:before="19"/>
        <w:ind w:left="878"/>
      </w:pPr>
      <w:r>
        <w:t>Contabilidad y Auditoría de Cuentas (ICAC).</w:t>
      </w:r>
    </w:p>
    <w:p w:rsidR="002E36CE" w:rsidRPr="00440300" w:rsidRDefault="002E36CE">
      <w:pPr>
        <w:pStyle w:val="Textoindependiente"/>
        <w:rPr>
          <w:sz w:val="26"/>
          <w:lang w:val="ca-ES"/>
        </w:rPr>
      </w:pPr>
    </w:p>
    <w:p w:rsidR="002E36CE" w:rsidRPr="00440300" w:rsidRDefault="00A975B5">
      <w:pPr>
        <w:pStyle w:val="Prrafodelista"/>
        <w:numPr>
          <w:ilvl w:val="1"/>
          <w:numId w:val="4"/>
        </w:numPr>
        <w:tabs>
          <w:tab w:val="left" w:pos="829"/>
          <w:tab w:val="left" w:pos="830"/>
        </w:tabs>
        <w:spacing w:before="223"/>
        <w:ind w:left="830" w:hanging="708"/>
        <w:rPr>
          <w:rFonts w:ascii="Lucida Sans"/>
          <w:b/>
        </w:rPr>
      </w:pPr>
      <w:r>
        <w:rPr>
          <w:rFonts w:ascii="Lucida Sans"/>
          <w:b/>
        </w:rPr>
        <w:t>Principios contables no obligatorios aplicados</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9" w:lineRule="auto"/>
        <w:ind w:left="405" w:right="974"/>
        <w:jc w:val="both"/>
        <w:rPr>
          <w:sz w:val="18"/>
        </w:rPr>
      </w:pPr>
      <w:r>
        <w:t xml:space="preserve">No se han aplicado principios contables no obligatorios. Adicionalmente, los patrones han formulado estas cuentas anuales teniendo en consideración la totalidad de principios y normas contables de aplicación obligatoria que tienen un efecto significativo en estas cuentas anuales. No existe ningún principio contable obligatorio que se haya dejado de </w:t>
      </w:r>
      <w:r>
        <w:rPr>
          <w:sz w:val="18"/>
        </w:rPr>
        <w:t>aplicar.</w:t>
      </w:r>
    </w:p>
    <w:p w:rsidR="002E36CE" w:rsidRPr="00440300" w:rsidRDefault="002E36CE">
      <w:pPr>
        <w:pStyle w:val="Textoindependiente"/>
        <w:rPr>
          <w:sz w:val="26"/>
          <w:lang w:val="ca-ES"/>
        </w:rPr>
      </w:pPr>
    </w:p>
    <w:p w:rsidR="002E36CE" w:rsidRPr="00440300" w:rsidRDefault="00A975B5">
      <w:pPr>
        <w:pStyle w:val="Prrafodelista"/>
        <w:numPr>
          <w:ilvl w:val="1"/>
          <w:numId w:val="4"/>
        </w:numPr>
        <w:tabs>
          <w:tab w:val="left" w:pos="829"/>
          <w:tab w:val="left" w:pos="830"/>
        </w:tabs>
        <w:spacing w:before="204"/>
        <w:ind w:left="830" w:hanging="708"/>
        <w:rPr>
          <w:rFonts w:ascii="Lucida Sans" w:hAnsi="Lucida Sans"/>
          <w:b/>
        </w:rPr>
      </w:pPr>
      <w:r>
        <w:rPr>
          <w:rFonts w:ascii="Lucida Sans" w:hAnsi="Lucida Sans"/>
          <w:b/>
        </w:rPr>
        <w:t>Aspectos críticos de la valoración y estimación de la incertidumbre</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9" w:lineRule="auto"/>
        <w:ind w:left="405" w:right="977"/>
        <w:jc w:val="both"/>
      </w:pPr>
      <w:r>
        <w:t>En la elaboración de las cuentas anuales adjuntas, se han utilizado estimaciones realizadas por los patrones de la Fundación para valorar algunos de los activos, pasivos, ingresos, gastos y compromisos que figuran registrados. Básicamente, estas estimaciones se refieren a:</w:t>
      </w:r>
    </w:p>
    <w:p w:rsidR="002E36CE" w:rsidRPr="00440300" w:rsidRDefault="002E36CE">
      <w:pPr>
        <w:pStyle w:val="Textoindependiente"/>
        <w:spacing w:before="7"/>
        <w:rPr>
          <w:sz w:val="20"/>
          <w:lang w:val="ca-ES"/>
        </w:rPr>
      </w:pPr>
    </w:p>
    <w:p w:rsidR="002E36CE" w:rsidRPr="00440300" w:rsidRDefault="00A975B5">
      <w:pPr>
        <w:pStyle w:val="Prrafodelista"/>
        <w:numPr>
          <w:ilvl w:val="2"/>
          <w:numId w:val="4"/>
        </w:numPr>
        <w:tabs>
          <w:tab w:val="left" w:pos="1537"/>
          <w:tab w:val="left" w:pos="1538"/>
        </w:tabs>
        <w:rPr>
          <w:rFonts w:ascii="Symbol" w:hAnsi="Symbol"/>
          <w:sz w:val="18"/>
        </w:rPr>
      </w:pPr>
      <w:r>
        <w:t>La vida útil de los activos materiales (nota 4.1)</w:t>
      </w:r>
    </w:p>
    <w:p w:rsidR="002E36CE" w:rsidRPr="00440300" w:rsidRDefault="00A975B5">
      <w:pPr>
        <w:pStyle w:val="Prrafodelista"/>
        <w:numPr>
          <w:ilvl w:val="2"/>
          <w:numId w:val="4"/>
        </w:numPr>
        <w:tabs>
          <w:tab w:val="left" w:pos="1537"/>
          <w:tab w:val="left" w:pos="1538"/>
        </w:tabs>
        <w:spacing w:before="21"/>
        <w:rPr>
          <w:rFonts w:ascii="Symbol" w:hAnsi="Symbol"/>
          <w:sz w:val="18"/>
        </w:rPr>
      </w:pPr>
      <w:r>
        <w:t>El valor de mercado de determinados instrumentos financieros (nota 4.2)</w:t>
      </w:r>
    </w:p>
    <w:p w:rsidR="002E36CE" w:rsidRPr="00440300" w:rsidRDefault="00A975B5">
      <w:pPr>
        <w:pStyle w:val="Textoindependiente"/>
        <w:spacing w:before="225" w:line="259" w:lineRule="auto"/>
        <w:ind w:left="405" w:right="976"/>
        <w:jc w:val="both"/>
      </w:pPr>
      <w:r>
        <w:t>A pesar de que estas estimaciones se han realizado basándose en la mejor información disponible al cierre del ejercicio anual terminado el 31 de diciembre de 2018, es posible que acontecimientos que puedan tener lugar en el futuro obliguen a modificarlas (al alza o a la baja) en los próximos ejercicios, lo que se realizaría, si procediera, de forma prospectiva.</w:t>
      </w:r>
    </w:p>
    <w:p w:rsidR="002E36CE" w:rsidRPr="00440300" w:rsidRDefault="002E36CE">
      <w:pPr>
        <w:spacing w:line="259" w:lineRule="auto"/>
        <w:jc w:val="both"/>
        <w:rPr>
          <w:lang w:val="ca-ES"/>
        </w:rPr>
        <w:sectPr w:rsidR="002E36CE" w:rsidRPr="00440300">
          <w:pgSz w:w="12240" w:h="15840"/>
          <w:pgMar w:top="1200" w:right="720" w:bottom="280" w:left="1580" w:header="720" w:footer="720" w:gutter="0"/>
          <w:cols w:space="720"/>
        </w:sectPr>
      </w:pPr>
    </w:p>
    <w:p w:rsidR="002E36CE" w:rsidRPr="00440300" w:rsidRDefault="00A975B5">
      <w:pPr>
        <w:pStyle w:val="Prrafodelista"/>
        <w:numPr>
          <w:ilvl w:val="1"/>
          <w:numId w:val="4"/>
        </w:numPr>
        <w:tabs>
          <w:tab w:val="left" w:pos="552"/>
        </w:tabs>
        <w:spacing w:before="93"/>
        <w:ind w:hanging="429"/>
        <w:rPr>
          <w:rFonts w:ascii="Lucida Sans" w:hAnsi="Lucida Sans"/>
          <w:b/>
        </w:rPr>
      </w:pPr>
      <w:r>
        <w:rPr>
          <w:rFonts w:ascii="Lucida Sans" w:hAnsi="Lucida Sans"/>
          <w:b/>
        </w:rPr>
        <w:lastRenderedPageBreak/>
        <w:t>Comparación de la información</w:t>
      </w:r>
    </w:p>
    <w:p w:rsidR="002E36CE" w:rsidRPr="00440300" w:rsidRDefault="002E36CE">
      <w:pPr>
        <w:pStyle w:val="Textoindependiente"/>
        <w:spacing w:before="10"/>
        <w:rPr>
          <w:rFonts w:ascii="Lucida Sans"/>
          <w:b/>
          <w:sz w:val="24"/>
          <w:lang w:val="ca-ES"/>
        </w:rPr>
      </w:pPr>
    </w:p>
    <w:p w:rsidR="002E36CE" w:rsidRPr="00440300" w:rsidRDefault="00A975B5">
      <w:pPr>
        <w:pStyle w:val="Textoindependiente"/>
        <w:spacing w:line="259" w:lineRule="auto"/>
        <w:ind w:left="405" w:right="975"/>
        <w:jc w:val="both"/>
      </w:pPr>
      <w:r>
        <w:t>La información contenida en esta Memoria, que se refiere al ejercicio anual terminado el 31 de diciembre de 2018, se presenta, a efectos comparativos, con la información del ejercicio anual terminado el 31 de diciembre de 2017.</w:t>
      </w:r>
    </w:p>
    <w:p w:rsidR="002E36CE" w:rsidRPr="00440300" w:rsidRDefault="002E36CE">
      <w:pPr>
        <w:pStyle w:val="Textoindependiente"/>
        <w:rPr>
          <w:sz w:val="26"/>
          <w:lang w:val="ca-ES"/>
        </w:rPr>
      </w:pPr>
    </w:p>
    <w:p w:rsidR="002E36CE" w:rsidRPr="00440300" w:rsidRDefault="00A975B5">
      <w:pPr>
        <w:pStyle w:val="Prrafodelista"/>
        <w:numPr>
          <w:ilvl w:val="1"/>
          <w:numId w:val="4"/>
        </w:numPr>
        <w:tabs>
          <w:tab w:val="left" w:pos="552"/>
        </w:tabs>
        <w:spacing w:before="204"/>
        <w:ind w:hanging="429"/>
        <w:rPr>
          <w:rFonts w:ascii="Lucida Sans" w:hAnsi="Lucida Sans"/>
          <w:b/>
        </w:rPr>
      </w:pPr>
      <w:r>
        <w:rPr>
          <w:rFonts w:ascii="Lucida Sans" w:hAnsi="Lucida Sans"/>
          <w:b/>
        </w:rPr>
        <w:t>Agrupación de partidas</w:t>
      </w:r>
    </w:p>
    <w:p w:rsidR="002E36CE" w:rsidRPr="00440300" w:rsidRDefault="002E36CE">
      <w:pPr>
        <w:pStyle w:val="Textoindependiente"/>
        <w:spacing w:before="10"/>
        <w:rPr>
          <w:rFonts w:ascii="Lucida Sans"/>
          <w:b/>
          <w:sz w:val="24"/>
          <w:lang w:val="ca-ES"/>
        </w:rPr>
      </w:pPr>
    </w:p>
    <w:p w:rsidR="002E36CE" w:rsidRPr="00440300" w:rsidRDefault="00A975B5">
      <w:pPr>
        <w:pStyle w:val="Textoindependiente"/>
        <w:spacing w:line="259" w:lineRule="auto"/>
        <w:ind w:left="405" w:right="974"/>
        <w:jc w:val="both"/>
      </w:pPr>
      <w:r>
        <w:t>Determinadas partidas del balance y de la cuenta de pérdidas y ganancias se presentan de forma agrupada para facilitar su comprensión, si bien, en la medida en que es significativa, se ha incluido la información desagregada en las notas correspondientes de la Memoria.</w:t>
      </w:r>
    </w:p>
    <w:p w:rsidR="002E36CE" w:rsidRPr="00440300" w:rsidRDefault="002E36CE">
      <w:pPr>
        <w:pStyle w:val="Textoindependiente"/>
        <w:rPr>
          <w:sz w:val="26"/>
          <w:lang w:val="ca-ES"/>
        </w:rPr>
      </w:pPr>
    </w:p>
    <w:p w:rsidR="002E36CE" w:rsidRPr="00440300" w:rsidRDefault="002E36CE">
      <w:pPr>
        <w:pStyle w:val="Textoindependiente"/>
        <w:spacing w:before="7"/>
        <w:rPr>
          <w:sz w:val="38"/>
          <w:lang w:val="ca-ES"/>
        </w:rPr>
      </w:pPr>
    </w:p>
    <w:p w:rsidR="002E36CE" w:rsidRPr="00440300" w:rsidRDefault="00A975B5">
      <w:pPr>
        <w:pStyle w:val="Prrafodelista"/>
        <w:numPr>
          <w:ilvl w:val="1"/>
          <w:numId w:val="4"/>
        </w:numPr>
        <w:tabs>
          <w:tab w:val="left" w:pos="552"/>
        </w:tabs>
        <w:spacing w:before="1"/>
        <w:ind w:hanging="429"/>
        <w:rPr>
          <w:rFonts w:ascii="Lucida Sans"/>
          <w:b/>
        </w:rPr>
      </w:pPr>
      <w:r>
        <w:rPr>
          <w:rFonts w:ascii="Lucida Sans"/>
          <w:b/>
        </w:rPr>
        <w:t>Fondo de maniobra</w:t>
      </w:r>
    </w:p>
    <w:p w:rsidR="002E36CE" w:rsidRPr="00440300" w:rsidRDefault="002E36CE">
      <w:pPr>
        <w:pStyle w:val="Textoindependiente"/>
        <w:spacing w:before="10"/>
        <w:rPr>
          <w:rFonts w:ascii="Lucida Sans"/>
          <w:b/>
          <w:sz w:val="24"/>
          <w:lang w:val="ca-ES"/>
        </w:rPr>
      </w:pPr>
    </w:p>
    <w:p w:rsidR="002E36CE" w:rsidRPr="00440300" w:rsidRDefault="00A975B5">
      <w:pPr>
        <w:pStyle w:val="Textoindependiente"/>
        <w:spacing w:line="259" w:lineRule="auto"/>
        <w:ind w:left="405" w:right="979"/>
        <w:jc w:val="both"/>
      </w:pPr>
      <w:r>
        <w:t>El balance de situación de la Fundación Privada Damm presenta un fondo de maniobra negativo por importe de 67.123 euros.</w:t>
      </w:r>
    </w:p>
    <w:p w:rsidR="002E36CE" w:rsidRPr="00440300" w:rsidRDefault="002E36CE">
      <w:pPr>
        <w:pStyle w:val="Textoindependiente"/>
        <w:rPr>
          <w:sz w:val="26"/>
          <w:lang w:val="ca-ES"/>
        </w:rPr>
      </w:pPr>
    </w:p>
    <w:p w:rsidR="002E36CE" w:rsidRPr="00440300" w:rsidRDefault="002E36CE">
      <w:pPr>
        <w:pStyle w:val="Textoindependiente"/>
        <w:rPr>
          <w:sz w:val="26"/>
          <w:lang w:val="ca-ES"/>
        </w:rPr>
      </w:pPr>
    </w:p>
    <w:p w:rsidR="002E36CE" w:rsidRPr="00440300" w:rsidRDefault="00A975B5">
      <w:pPr>
        <w:pStyle w:val="Prrafodelista"/>
        <w:numPr>
          <w:ilvl w:val="0"/>
          <w:numId w:val="4"/>
        </w:numPr>
        <w:tabs>
          <w:tab w:val="left" w:pos="370"/>
        </w:tabs>
        <w:spacing w:before="178"/>
        <w:ind w:left="369" w:hanging="247"/>
        <w:rPr>
          <w:rFonts w:ascii="Lucida Sans"/>
          <w:b/>
        </w:rPr>
      </w:pPr>
      <w:r>
        <w:rPr>
          <w:rFonts w:ascii="Lucida Sans"/>
          <w:b/>
        </w:rPr>
        <w:t>Excedente del ejercicio</w:t>
      </w:r>
    </w:p>
    <w:p w:rsidR="002E36CE" w:rsidRPr="00440300" w:rsidRDefault="002E36CE">
      <w:pPr>
        <w:pStyle w:val="Textoindependiente"/>
        <w:spacing w:before="11"/>
        <w:rPr>
          <w:rFonts w:ascii="Lucida Sans"/>
          <w:b/>
          <w:sz w:val="24"/>
          <w:lang w:val="ca-ES"/>
        </w:rPr>
      </w:pPr>
    </w:p>
    <w:p w:rsidR="002E36CE" w:rsidRPr="00440300" w:rsidRDefault="00A975B5" w:rsidP="00A975B5">
      <w:pPr>
        <w:pStyle w:val="Textoindependiente"/>
        <w:ind w:left="405"/>
        <w:jc w:val="both"/>
      </w:pPr>
      <w:r>
        <w:t>El Patronato aprueba la distribución del excedente del ejercicio que se indica a continuación:</w:t>
      </w:r>
    </w:p>
    <w:p w:rsidR="002E36CE" w:rsidRPr="00440300" w:rsidRDefault="002E36CE">
      <w:pPr>
        <w:pStyle w:val="Textoindependiente"/>
        <w:rPr>
          <w:sz w:val="20"/>
          <w:lang w:val="ca-ES"/>
        </w:rPr>
      </w:pPr>
    </w:p>
    <w:p w:rsidR="002E36CE" w:rsidRPr="00440300" w:rsidRDefault="002E36CE">
      <w:pPr>
        <w:pStyle w:val="Textoindependiente"/>
        <w:spacing w:before="1"/>
        <w:rPr>
          <w:sz w:val="28"/>
          <w:lang w:val="ca-ES"/>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10"/>
        <w:gridCol w:w="1697"/>
      </w:tblGrid>
      <w:tr w:rsidR="002E36CE" w:rsidRPr="00440300">
        <w:trPr>
          <w:trHeight w:val="273"/>
        </w:trPr>
        <w:tc>
          <w:tcPr>
            <w:tcW w:w="6810" w:type="dxa"/>
          </w:tcPr>
          <w:p w:rsidR="002E36CE" w:rsidRPr="00440300" w:rsidRDefault="00A975B5">
            <w:pPr>
              <w:pStyle w:val="TableParagraph"/>
              <w:spacing w:before="12" w:line="241" w:lineRule="exact"/>
              <w:ind w:left="2231" w:right="2228"/>
              <w:jc w:val="center"/>
            </w:pPr>
            <w:r>
              <w:t>Bases de reparto</w:t>
            </w:r>
          </w:p>
        </w:tc>
        <w:tc>
          <w:tcPr>
            <w:tcW w:w="1697" w:type="dxa"/>
          </w:tcPr>
          <w:p w:rsidR="002E36CE" w:rsidRPr="00440300" w:rsidRDefault="00A975B5">
            <w:pPr>
              <w:pStyle w:val="TableParagraph"/>
              <w:spacing w:before="12" w:line="241" w:lineRule="exact"/>
              <w:ind w:left="64"/>
            </w:pPr>
            <w:r>
              <w:t>Ejercicio 2018</w:t>
            </w:r>
          </w:p>
        </w:tc>
      </w:tr>
      <w:tr w:rsidR="002E36CE" w:rsidRPr="00440300">
        <w:trPr>
          <w:trHeight w:val="1065"/>
        </w:trPr>
        <w:tc>
          <w:tcPr>
            <w:tcW w:w="6810" w:type="dxa"/>
            <w:tcBorders>
              <w:bottom w:val="nil"/>
            </w:tcBorders>
          </w:tcPr>
          <w:p w:rsidR="002E36CE" w:rsidRPr="00440300" w:rsidRDefault="002E36CE">
            <w:pPr>
              <w:pStyle w:val="TableParagraph"/>
              <w:spacing w:before="5"/>
              <w:rPr>
                <w:sz w:val="35"/>
                <w:lang w:val="ca-ES"/>
              </w:rPr>
            </w:pPr>
          </w:p>
          <w:p w:rsidR="002E36CE" w:rsidRPr="00440300" w:rsidRDefault="00A975B5">
            <w:pPr>
              <w:pStyle w:val="TableParagraph"/>
              <w:ind w:left="69"/>
            </w:pPr>
            <w:r>
              <w:t>Excedente del ejercicio</w:t>
            </w:r>
          </w:p>
        </w:tc>
        <w:tc>
          <w:tcPr>
            <w:tcW w:w="1697" w:type="dxa"/>
          </w:tcPr>
          <w:p w:rsidR="002E36CE" w:rsidRPr="00440300" w:rsidRDefault="002E36CE">
            <w:pPr>
              <w:pStyle w:val="TableParagraph"/>
              <w:spacing w:before="11"/>
              <w:rPr>
                <w:sz w:val="23"/>
                <w:lang w:val="ca-ES"/>
              </w:rPr>
            </w:pPr>
          </w:p>
          <w:p w:rsidR="002E36CE" w:rsidRPr="00440300" w:rsidRDefault="00A975B5">
            <w:pPr>
              <w:pStyle w:val="TableParagraph"/>
              <w:ind w:left="422"/>
              <w:rPr>
                <w:rFonts w:ascii="Lucida Sans"/>
                <w:b/>
                <w:sz w:val="20"/>
              </w:rPr>
            </w:pPr>
            <w:r>
              <w:rPr>
                <w:rFonts w:ascii="Lucida Sans"/>
                <w:b/>
                <w:sz w:val="20"/>
              </w:rPr>
              <w:t>-5.548,88</w:t>
            </w:r>
          </w:p>
        </w:tc>
      </w:tr>
      <w:tr w:rsidR="002E36CE" w:rsidRPr="00440300">
        <w:trPr>
          <w:trHeight w:val="283"/>
        </w:trPr>
        <w:tc>
          <w:tcPr>
            <w:tcW w:w="6810" w:type="dxa"/>
            <w:tcBorders>
              <w:top w:val="nil"/>
            </w:tcBorders>
          </w:tcPr>
          <w:p w:rsidR="002E36CE" w:rsidRPr="00440300" w:rsidRDefault="00A975B5">
            <w:pPr>
              <w:pStyle w:val="TableParagraph"/>
              <w:spacing w:before="9" w:line="254" w:lineRule="exact"/>
              <w:ind w:left="282"/>
              <w:rPr>
                <w:rFonts w:ascii="Lucida Sans" w:hAnsi="Lucida Sans"/>
                <w:b/>
              </w:rPr>
            </w:pPr>
            <w:r>
              <w:rPr>
                <w:rFonts w:ascii="Lucida Sans" w:hAnsi="Lucida Sans"/>
                <w:b/>
              </w:rPr>
              <w:t>Total base de reparto = Total distribución</w:t>
            </w:r>
          </w:p>
        </w:tc>
        <w:tc>
          <w:tcPr>
            <w:tcW w:w="1697" w:type="dxa"/>
          </w:tcPr>
          <w:p w:rsidR="002E36CE" w:rsidRPr="00440300" w:rsidRDefault="00A975B5">
            <w:pPr>
              <w:pStyle w:val="TableParagraph"/>
              <w:spacing w:before="21"/>
              <w:ind w:left="422"/>
              <w:rPr>
                <w:rFonts w:ascii="Lucida Sans"/>
                <w:b/>
                <w:sz w:val="20"/>
              </w:rPr>
            </w:pPr>
            <w:r>
              <w:rPr>
                <w:rFonts w:ascii="Lucida Sans"/>
                <w:b/>
                <w:sz w:val="20"/>
              </w:rPr>
              <w:t>-5.548,88</w:t>
            </w:r>
          </w:p>
        </w:tc>
      </w:tr>
      <w:tr w:rsidR="002E36CE" w:rsidRPr="00440300">
        <w:trPr>
          <w:trHeight w:val="275"/>
        </w:trPr>
        <w:tc>
          <w:tcPr>
            <w:tcW w:w="6810" w:type="dxa"/>
          </w:tcPr>
          <w:p w:rsidR="002E36CE" w:rsidRPr="00440300" w:rsidRDefault="00A975B5">
            <w:pPr>
              <w:pStyle w:val="TableParagraph"/>
              <w:spacing w:before="12" w:line="244" w:lineRule="exact"/>
              <w:ind w:left="2231" w:right="2225"/>
              <w:jc w:val="center"/>
            </w:pPr>
            <w:r>
              <w:t>Distribución a</w:t>
            </w:r>
          </w:p>
        </w:tc>
        <w:tc>
          <w:tcPr>
            <w:tcW w:w="1697" w:type="dxa"/>
          </w:tcPr>
          <w:p w:rsidR="002E36CE" w:rsidRPr="00440300" w:rsidRDefault="00A975B5">
            <w:pPr>
              <w:pStyle w:val="TableParagraph"/>
              <w:spacing w:before="12" w:line="244" w:lineRule="exact"/>
              <w:ind w:left="64"/>
            </w:pPr>
            <w:r>
              <w:t>Ejercicio 2018</w:t>
            </w:r>
          </w:p>
        </w:tc>
      </w:tr>
      <w:tr w:rsidR="002E36CE" w:rsidRPr="00440300">
        <w:trPr>
          <w:trHeight w:val="270"/>
        </w:trPr>
        <w:tc>
          <w:tcPr>
            <w:tcW w:w="6810" w:type="dxa"/>
            <w:tcBorders>
              <w:bottom w:val="nil"/>
            </w:tcBorders>
          </w:tcPr>
          <w:p w:rsidR="002E36CE" w:rsidRPr="00440300" w:rsidRDefault="00A975B5">
            <w:pPr>
              <w:pStyle w:val="TableParagraph"/>
              <w:spacing w:before="9" w:line="241" w:lineRule="exact"/>
              <w:ind w:left="69"/>
            </w:pPr>
            <w:r>
              <w:t>Fondo</w:t>
            </w:r>
            <w:r w:rsidR="00E8459B">
              <w:t>s</w:t>
            </w:r>
            <w:r>
              <w:t xml:space="preserve"> dotacionales</w:t>
            </w:r>
          </w:p>
        </w:tc>
        <w:tc>
          <w:tcPr>
            <w:tcW w:w="1697" w:type="dxa"/>
          </w:tcPr>
          <w:p w:rsidR="002E36CE" w:rsidRPr="00440300" w:rsidRDefault="00A975B5">
            <w:pPr>
              <w:pStyle w:val="TableParagraph"/>
              <w:spacing w:before="14"/>
              <w:ind w:left="1"/>
              <w:jc w:val="center"/>
              <w:rPr>
                <w:rFonts w:ascii="Lucida Sans"/>
                <w:b/>
                <w:sz w:val="20"/>
              </w:rPr>
            </w:pPr>
            <w:r>
              <w:rPr>
                <w:rFonts w:ascii="Lucida Sans"/>
                <w:b/>
                <w:sz w:val="20"/>
              </w:rPr>
              <w:t>-</w:t>
            </w:r>
          </w:p>
        </w:tc>
      </w:tr>
      <w:tr w:rsidR="002E36CE" w:rsidRPr="00440300">
        <w:trPr>
          <w:trHeight w:val="273"/>
        </w:trPr>
        <w:tc>
          <w:tcPr>
            <w:tcW w:w="6810" w:type="dxa"/>
            <w:tcBorders>
              <w:top w:val="nil"/>
              <w:bottom w:val="nil"/>
            </w:tcBorders>
          </w:tcPr>
          <w:p w:rsidR="002E36CE" w:rsidRPr="00440300" w:rsidRDefault="00A975B5">
            <w:pPr>
              <w:pStyle w:val="TableParagraph"/>
              <w:spacing w:before="12" w:line="241" w:lineRule="exact"/>
              <w:ind w:left="69"/>
            </w:pPr>
            <w:r>
              <w:t>Fondos especiales</w:t>
            </w:r>
          </w:p>
        </w:tc>
        <w:tc>
          <w:tcPr>
            <w:tcW w:w="1697" w:type="dxa"/>
          </w:tcPr>
          <w:p w:rsidR="002E36CE" w:rsidRPr="00440300" w:rsidRDefault="00A975B5">
            <w:pPr>
              <w:pStyle w:val="TableParagraph"/>
              <w:spacing w:before="4" w:line="249" w:lineRule="exact"/>
              <w:jc w:val="center"/>
              <w:rPr>
                <w:rFonts w:ascii="Lucida Sans"/>
                <w:b/>
              </w:rPr>
            </w:pPr>
            <w:r>
              <w:rPr>
                <w:rFonts w:ascii="Lucida Sans"/>
                <w:b/>
              </w:rPr>
              <w:t>-</w:t>
            </w:r>
          </w:p>
        </w:tc>
      </w:tr>
      <w:tr w:rsidR="002E36CE" w:rsidRPr="00440300">
        <w:trPr>
          <w:trHeight w:val="321"/>
        </w:trPr>
        <w:tc>
          <w:tcPr>
            <w:tcW w:w="6810" w:type="dxa"/>
            <w:tcBorders>
              <w:top w:val="nil"/>
              <w:bottom w:val="nil"/>
            </w:tcBorders>
          </w:tcPr>
          <w:p w:rsidR="002E36CE" w:rsidRPr="00440300" w:rsidRDefault="00A975B5">
            <w:pPr>
              <w:pStyle w:val="TableParagraph"/>
              <w:spacing w:before="36"/>
              <w:ind w:left="69"/>
            </w:pPr>
            <w:r>
              <w:t>Remanente</w:t>
            </w:r>
          </w:p>
        </w:tc>
        <w:tc>
          <w:tcPr>
            <w:tcW w:w="1697" w:type="dxa"/>
          </w:tcPr>
          <w:p w:rsidR="002E36CE" w:rsidRPr="00440300" w:rsidRDefault="002E36CE">
            <w:pPr>
              <w:pStyle w:val="TableParagraph"/>
              <w:rPr>
                <w:rFonts w:ascii="Times New Roman"/>
                <w:lang w:val="ca-ES"/>
              </w:rPr>
            </w:pPr>
          </w:p>
        </w:tc>
      </w:tr>
      <w:tr w:rsidR="002E36CE" w:rsidRPr="00440300">
        <w:trPr>
          <w:trHeight w:val="546"/>
        </w:trPr>
        <w:tc>
          <w:tcPr>
            <w:tcW w:w="6810" w:type="dxa"/>
            <w:tcBorders>
              <w:top w:val="nil"/>
              <w:bottom w:val="nil"/>
            </w:tcBorders>
          </w:tcPr>
          <w:p w:rsidR="002E36CE" w:rsidRPr="00440300" w:rsidRDefault="00A975B5">
            <w:pPr>
              <w:pStyle w:val="TableParagraph"/>
              <w:tabs>
                <w:tab w:val="left" w:pos="1425"/>
                <w:tab w:val="left" w:pos="2604"/>
                <w:tab w:val="left" w:pos="3858"/>
                <w:tab w:val="left" w:pos="5259"/>
                <w:tab w:val="left" w:pos="5804"/>
              </w:tabs>
              <w:spacing w:before="12"/>
              <w:ind w:left="69"/>
            </w:pPr>
            <w:r>
              <w:t>Excedentes negativos pendientes de aplicación en actividades</w:t>
            </w:r>
          </w:p>
          <w:p w:rsidR="002E36CE" w:rsidRPr="00440300" w:rsidRDefault="00A975B5">
            <w:pPr>
              <w:pStyle w:val="TableParagraph"/>
              <w:spacing w:before="20" w:line="241" w:lineRule="exact"/>
              <w:ind w:left="69"/>
            </w:pPr>
            <w:r>
              <w:t>fundacionales</w:t>
            </w:r>
          </w:p>
        </w:tc>
        <w:tc>
          <w:tcPr>
            <w:tcW w:w="1697" w:type="dxa"/>
          </w:tcPr>
          <w:p w:rsidR="002E36CE" w:rsidRPr="00440300" w:rsidRDefault="00A975B5">
            <w:pPr>
              <w:pStyle w:val="TableParagraph"/>
              <w:spacing w:before="141"/>
              <w:ind w:left="379"/>
              <w:rPr>
                <w:rFonts w:ascii="Lucida Sans"/>
                <w:b/>
              </w:rPr>
            </w:pPr>
            <w:r>
              <w:rPr>
                <w:rFonts w:ascii="Lucida Sans"/>
                <w:b/>
              </w:rPr>
              <w:t>-5.548,88</w:t>
            </w:r>
          </w:p>
        </w:tc>
      </w:tr>
      <w:tr w:rsidR="002E36CE" w:rsidRPr="00440300">
        <w:trPr>
          <w:trHeight w:val="270"/>
        </w:trPr>
        <w:tc>
          <w:tcPr>
            <w:tcW w:w="6810" w:type="dxa"/>
            <w:tcBorders>
              <w:top w:val="nil"/>
              <w:bottom w:val="nil"/>
            </w:tcBorders>
          </w:tcPr>
          <w:p w:rsidR="002E36CE" w:rsidRPr="00440300" w:rsidRDefault="00A975B5">
            <w:pPr>
              <w:pStyle w:val="TableParagraph"/>
              <w:spacing w:before="9" w:line="241" w:lineRule="exact"/>
              <w:ind w:left="69"/>
            </w:pPr>
            <w:r>
              <w:t>Compensación de excedentes negativos de ejercicios anteriores</w:t>
            </w:r>
          </w:p>
        </w:tc>
        <w:tc>
          <w:tcPr>
            <w:tcW w:w="1697" w:type="dxa"/>
          </w:tcPr>
          <w:p w:rsidR="002E36CE" w:rsidRPr="00440300" w:rsidRDefault="00A975B5">
            <w:pPr>
              <w:pStyle w:val="TableParagraph"/>
              <w:spacing w:before="14"/>
              <w:ind w:left="1"/>
              <w:jc w:val="center"/>
              <w:rPr>
                <w:rFonts w:ascii="Lucida Sans"/>
                <w:b/>
                <w:sz w:val="20"/>
              </w:rPr>
            </w:pPr>
            <w:r>
              <w:rPr>
                <w:rFonts w:ascii="Lucida Sans"/>
                <w:b/>
                <w:sz w:val="20"/>
              </w:rPr>
              <w:t>-</w:t>
            </w:r>
          </w:p>
        </w:tc>
      </w:tr>
      <w:tr w:rsidR="002E36CE" w:rsidRPr="00440300">
        <w:trPr>
          <w:trHeight w:val="743"/>
        </w:trPr>
        <w:tc>
          <w:tcPr>
            <w:tcW w:w="6810" w:type="dxa"/>
            <w:tcBorders>
              <w:top w:val="nil"/>
            </w:tcBorders>
          </w:tcPr>
          <w:p w:rsidR="002E36CE" w:rsidRPr="00440300" w:rsidRDefault="002E36CE">
            <w:pPr>
              <w:pStyle w:val="TableParagraph"/>
              <w:spacing w:before="9"/>
              <w:rPr>
                <w:sz w:val="20"/>
                <w:lang w:val="ca-ES"/>
              </w:rPr>
            </w:pPr>
          </w:p>
          <w:p w:rsidR="002E36CE" w:rsidRPr="00440300" w:rsidRDefault="00A975B5">
            <w:pPr>
              <w:pStyle w:val="TableParagraph"/>
              <w:ind w:left="282"/>
              <w:rPr>
                <w:rFonts w:ascii="Lucida Sans" w:hAnsi="Lucida Sans"/>
                <w:b/>
              </w:rPr>
            </w:pPr>
            <w:r>
              <w:rPr>
                <w:rFonts w:ascii="Lucida Sans" w:hAnsi="Lucida Sans"/>
                <w:b/>
              </w:rPr>
              <w:t>Total distribución = Total base de reparto</w:t>
            </w:r>
          </w:p>
        </w:tc>
        <w:tc>
          <w:tcPr>
            <w:tcW w:w="1697" w:type="dxa"/>
          </w:tcPr>
          <w:p w:rsidR="002E36CE" w:rsidRPr="00440300" w:rsidRDefault="002E36CE">
            <w:pPr>
              <w:pStyle w:val="TableParagraph"/>
              <w:spacing w:before="10"/>
              <w:rPr>
                <w:sz w:val="21"/>
                <w:lang w:val="ca-ES"/>
              </w:rPr>
            </w:pPr>
          </w:p>
          <w:p w:rsidR="002E36CE" w:rsidRPr="00440300" w:rsidRDefault="00A975B5">
            <w:pPr>
              <w:pStyle w:val="TableParagraph"/>
              <w:ind w:left="422"/>
              <w:rPr>
                <w:rFonts w:ascii="Lucida Sans"/>
                <w:b/>
                <w:sz w:val="20"/>
              </w:rPr>
            </w:pPr>
            <w:r>
              <w:rPr>
                <w:rFonts w:ascii="Lucida Sans"/>
                <w:b/>
                <w:sz w:val="20"/>
              </w:rPr>
              <w:t>-5.548,88</w:t>
            </w:r>
          </w:p>
        </w:tc>
      </w:tr>
    </w:tbl>
    <w:p w:rsidR="002E36CE" w:rsidRPr="00440300" w:rsidRDefault="002E36CE">
      <w:pPr>
        <w:rPr>
          <w:rFonts w:ascii="Lucida Sans"/>
          <w:sz w:val="20"/>
          <w:lang w:val="ca-ES"/>
        </w:rPr>
        <w:sectPr w:rsidR="002E36CE" w:rsidRPr="00440300">
          <w:pgSz w:w="12240" w:h="15840"/>
          <w:pgMar w:top="1460" w:right="720" w:bottom="280" w:left="1580" w:header="720" w:footer="720" w:gutter="0"/>
          <w:cols w:space="720"/>
        </w:sectPr>
      </w:pPr>
    </w:p>
    <w:p w:rsidR="002E36CE" w:rsidRPr="00440300" w:rsidRDefault="00A975B5">
      <w:pPr>
        <w:pStyle w:val="Prrafodelista"/>
        <w:numPr>
          <w:ilvl w:val="0"/>
          <w:numId w:val="4"/>
        </w:numPr>
        <w:tabs>
          <w:tab w:val="left" w:pos="367"/>
        </w:tabs>
        <w:spacing w:before="93"/>
        <w:ind w:left="366" w:hanging="244"/>
        <w:rPr>
          <w:rFonts w:ascii="Lucida Sans" w:hAnsi="Lucida Sans"/>
          <w:b/>
        </w:rPr>
      </w:pPr>
      <w:r>
        <w:rPr>
          <w:rFonts w:ascii="Lucida Sans" w:hAnsi="Lucida Sans"/>
          <w:b/>
        </w:rPr>
        <w:lastRenderedPageBreak/>
        <w:t>Normas de valoración</w:t>
      </w:r>
    </w:p>
    <w:p w:rsidR="002E36CE" w:rsidRPr="00440300" w:rsidRDefault="002E36CE">
      <w:pPr>
        <w:pStyle w:val="Textoindependiente"/>
        <w:rPr>
          <w:rFonts w:ascii="Lucida Sans"/>
          <w:b/>
          <w:sz w:val="26"/>
          <w:lang w:val="ca-ES"/>
        </w:rPr>
      </w:pPr>
    </w:p>
    <w:p w:rsidR="002E36CE" w:rsidRPr="00440300" w:rsidRDefault="002E36CE">
      <w:pPr>
        <w:pStyle w:val="Textoindependiente"/>
        <w:spacing w:before="5"/>
        <w:rPr>
          <w:rFonts w:ascii="Lucida Sans"/>
          <w:b/>
          <w:sz w:val="21"/>
          <w:lang w:val="ca-ES"/>
        </w:rPr>
      </w:pPr>
    </w:p>
    <w:p w:rsidR="002E36CE" w:rsidRPr="00440300" w:rsidRDefault="00A975B5">
      <w:pPr>
        <w:pStyle w:val="Prrafodelista"/>
        <w:numPr>
          <w:ilvl w:val="1"/>
          <w:numId w:val="4"/>
        </w:numPr>
        <w:tabs>
          <w:tab w:val="left" w:pos="552"/>
        </w:tabs>
        <w:ind w:hanging="429"/>
        <w:rPr>
          <w:rFonts w:ascii="Lucida Sans"/>
          <w:b/>
        </w:rPr>
      </w:pPr>
      <w:r>
        <w:rPr>
          <w:rFonts w:ascii="Lucida Sans"/>
          <w:b/>
        </w:rPr>
        <w:t>Inmovilizado material</w:t>
      </w:r>
    </w:p>
    <w:p w:rsidR="002E36CE" w:rsidRPr="00440300" w:rsidRDefault="00A975B5">
      <w:pPr>
        <w:pStyle w:val="Textoindependiente"/>
        <w:spacing w:before="166" w:line="259" w:lineRule="auto"/>
        <w:ind w:left="405" w:right="976"/>
        <w:jc w:val="both"/>
      </w:pPr>
      <w:r>
        <w:t>El inmovilizado material se valora inicialmente por el precio de adquisición o coste de producción, y posteriormente se minora por la correspondiente amortización acumulada y las pérdidas por deterioro, si procede.</w:t>
      </w:r>
    </w:p>
    <w:p w:rsidR="002E36CE" w:rsidRPr="00440300" w:rsidRDefault="002E36CE">
      <w:pPr>
        <w:pStyle w:val="Textoindependiente"/>
        <w:spacing w:before="9"/>
        <w:rPr>
          <w:sz w:val="20"/>
          <w:lang w:val="ca-ES"/>
        </w:rPr>
      </w:pPr>
    </w:p>
    <w:p w:rsidR="002E36CE" w:rsidRPr="00440300" w:rsidRDefault="00A975B5">
      <w:pPr>
        <w:pStyle w:val="Textoindependiente"/>
        <w:spacing w:line="259" w:lineRule="auto"/>
        <w:ind w:left="405" w:right="971"/>
        <w:jc w:val="both"/>
      </w:pPr>
      <w:r>
        <w:t>Los gastos de conservación y mantenimiento de los diferentes elementos que componen el inmovilizado material se imputan a la cuenta de pérdidas y ganancias del ejercicio en que se incurren. Por el contrario, los importes invertidos en mejoras que contribuyen a aumentar la capacidad o eficiencia o a alargar la vida útil de los bienes se registran como mayor coste de los mismos.</w:t>
      </w:r>
    </w:p>
    <w:p w:rsidR="002E36CE" w:rsidRPr="00440300" w:rsidRDefault="002E36CE">
      <w:pPr>
        <w:pStyle w:val="Textoindependiente"/>
        <w:spacing w:before="8"/>
        <w:rPr>
          <w:sz w:val="20"/>
          <w:lang w:val="ca-ES"/>
        </w:rPr>
      </w:pPr>
    </w:p>
    <w:p w:rsidR="002E36CE" w:rsidRPr="00440300" w:rsidRDefault="00A975B5">
      <w:pPr>
        <w:pStyle w:val="Textoindependiente"/>
        <w:spacing w:line="259" w:lineRule="auto"/>
        <w:ind w:left="405" w:right="973"/>
        <w:jc w:val="both"/>
      </w:pPr>
      <w:r>
        <w:t>Las sustituciones o renovaciones de los elementos completos que aumentan la vida útil del bien objeto, o su capacidad económica, se contabilizan como mayor importe del inmovilizado material, con el consiguiente retiro contable de los elementos sustituidos o renovados.</w:t>
      </w:r>
    </w:p>
    <w:p w:rsidR="002E36CE" w:rsidRPr="00440300" w:rsidRDefault="002E36CE">
      <w:pPr>
        <w:pStyle w:val="Textoindependiente"/>
        <w:spacing w:before="6"/>
        <w:rPr>
          <w:sz w:val="23"/>
          <w:lang w:val="ca-ES"/>
        </w:rPr>
      </w:pPr>
    </w:p>
    <w:p w:rsidR="002E36CE" w:rsidRPr="00440300" w:rsidRDefault="00A975B5">
      <w:pPr>
        <w:pStyle w:val="Textoindependiente"/>
        <w:spacing w:line="259" w:lineRule="auto"/>
        <w:ind w:left="405" w:right="972"/>
        <w:jc w:val="both"/>
      </w:pPr>
      <w:r>
        <w:t>Las dotaciones anuales en concepto de amortización de los activos materiales se realizan en contrapartida a la cuenta de pérdidas y ganancias y, básicamente, equivalen a los porcentajes de amortización siguientes, determinados en función de los años de la vida útil estimada, como promedio, de los diferentes elementos:</w:t>
      </w:r>
    </w:p>
    <w:p w:rsidR="002E36CE" w:rsidRPr="00440300" w:rsidRDefault="002E36CE">
      <w:pPr>
        <w:pStyle w:val="Textoindependiente"/>
        <w:spacing w:before="5"/>
        <w:rPr>
          <w:lang w:val="ca-ES"/>
        </w:rPr>
      </w:pPr>
    </w:p>
    <w:tbl>
      <w:tblPr>
        <w:tblStyle w:val="TableNormal"/>
        <w:tblW w:w="0" w:type="auto"/>
        <w:tblInd w:w="2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24"/>
        <w:gridCol w:w="1377"/>
        <w:gridCol w:w="977"/>
      </w:tblGrid>
      <w:tr w:rsidR="002E36CE" w:rsidRPr="00440300">
        <w:trPr>
          <w:trHeight w:val="736"/>
        </w:trPr>
        <w:tc>
          <w:tcPr>
            <w:tcW w:w="1624" w:type="dxa"/>
            <w:tcBorders>
              <w:top w:val="nil"/>
              <w:left w:val="nil"/>
              <w:right w:val="single" w:sz="6" w:space="0" w:color="000000"/>
            </w:tcBorders>
          </w:tcPr>
          <w:p w:rsidR="002E36CE" w:rsidRPr="00440300" w:rsidRDefault="002E36CE">
            <w:pPr>
              <w:pStyle w:val="TableParagraph"/>
              <w:rPr>
                <w:rFonts w:ascii="Times New Roman"/>
                <w:lang w:val="ca-ES"/>
              </w:rPr>
            </w:pPr>
          </w:p>
        </w:tc>
        <w:tc>
          <w:tcPr>
            <w:tcW w:w="1377" w:type="dxa"/>
            <w:tcBorders>
              <w:top w:val="single" w:sz="6" w:space="0" w:color="000000"/>
              <w:left w:val="single" w:sz="6" w:space="0" w:color="000000"/>
              <w:right w:val="single" w:sz="6" w:space="0" w:color="000000"/>
            </w:tcBorders>
          </w:tcPr>
          <w:p w:rsidR="002E36CE" w:rsidRPr="00440300" w:rsidRDefault="00A975B5">
            <w:pPr>
              <w:pStyle w:val="TableParagraph"/>
              <w:spacing w:before="107" w:line="256" w:lineRule="auto"/>
              <w:ind w:left="382" w:hanging="313"/>
            </w:pPr>
            <w:r>
              <w:t>Porcentaje anual</w:t>
            </w:r>
          </w:p>
        </w:tc>
        <w:tc>
          <w:tcPr>
            <w:tcW w:w="977" w:type="dxa"/>
            <w:tcBorders>
              <w:top w:val="single" w:sz="6" w:space="0" w:color="000000"/>
              <w:left w:val="single" w:sz="6" w:space="0" w:color="000000"/>
              <w:right w:val="single" w:sz="6" w:space="0" w:color="000000"/>
            </w:tcBorders>
          </w:tcPr>
          <w:p w:rsidR="002E36CE" w:rsidRPr="00440300" w:rsidRDefault="002E36CE">
            <w:pPr>
              <w:pStyle w:val="TableParagraph"/>
              <w:rPr>
                <w:sz w:val="21"/>
                <w:lang w:val="ca-ES"/>
              </w:rPr>
            </w:pPr>
          </w:p>
          <w:p w:rsidR="002E36CE" w:rsidRPr="00440300" w:rsidRDefault="00A975B5">
            <w:pPr>
              <w:pStyle w:val="TableParagraph"/>
              <w:ind w:left="15" w:right="6"/>
              <w:jc w:val="center"/>
            </w:pPr>
            <w:r>
              <w:t>Vida útil</w:t>
            </w:r>
          </w:p>
        </w:tc>
      </w:tr>
      <w:tr w:rsidR="002E36CE" w:rsidRPr="00440300">
        <w:trPr>
          <w:trHeight w:val="366"/>
        </w:trPr>
        <w:tc>
          <w:tcPr>
            <w:tcW w:w="1624" w:type="dxa"/>
            <w:tcBorders>
              <w:left w:val="single" w:sz="6" w:space="0" w:color="000000"/>
              <w:bottom w:val="single" w:sz="6" w:space="0" w:color="000000"/>
              <w:right w:val="single" w:sz="6" w:space="0" w:color="000000"/>
            </w:tcBorders>
          </w:tcPr>
          <w:p w:rsidR="002E36CE" w:rsidRPr="00440300" w:rsidRDefault="00A975B5">
            <w:pPr>
              <w:pStyle w:val="TableParagraph"/>
              <w:spacing w:before="57"/>
              <w:ind w:left="40"/>
            </w:pPr>
            <w:r>
              <w:t>Construcciones</w:t>
            </w:r>
          </w:p>
        </w:tc>
        <w:tc>
          <w:tcPr>
            <w:tcW w:w="1377" w:type="dxa"/>
            <w:tcBorders>
              <w:left w:val="single" w:sz="6" w:space="0" w:color="000000"/>
              <w:bottom w:val="single" w:sz="6" w:space="0" w:color="000000"/>
              <w:right w:val="single" w:sz="6" w:space="0" w:color="000000"/>
            </w:tcBorders>
          </w:tcPr>
          <w:p w:rsidR="002E36CE" w:rsidRPr="00440300" w:rsidRDefault="00A975B5">
            <w:pPr>
              <w:pStyle w:val="TableParagraph"/>
              <w:spacing w:before="57"/>
              <w:ind w:left="509" w:right="495"/>
              <w:jc w:val="center"/>
            </w:pPr>
            <w:r>
              <w:t>3%</w:t>
            </w:r>
          </w:p>
        </w:tc>
        <w:tc>
          <w:tcPr>
            <w:tcW w:w="977" w:type="dxa"/>
            <w:tcBorders>
              <w:left w:val="single" w:sz="6" w:space="0" w:color="000000"/>
              <w:bottom w:val="single" w:sz="6" w:space="0" w:color="000000"/>
              <w:right w:val="single" w:sz="6" w:space="0" w:color="000000"/>
            </w:tcBorders>
          </w:tcPr>
          <w:p w:rsidR="002E36CE" w:rsidRPr="00440300" w:rsidRDefault="00A975B5">
            <w:pPr>
              <w:pStyle w:val="TableParagraph"/>
              <w:spacing w:before="57"/>
              <w:ind w:left="15" w:right="5"/>
              <w:jc w:val="center"/>
            </w:pPr>
            <w:r>
              <w:t>33 años</w:t>
            </w:r>
          </w:p>
        </w:tc>
      </w:tr>
    </w:tbl>
    <w:p w:rsidR="002E36CE" w:rsidRPr="00440300" w:rsidRDefault="002E36CE">
      <w:pPr>
        <w:pStyle w:val="Textoindependiente"/>
        <w:rPr>
          <w:sz w:val="26"/>
          <w:lang w:val="ca-ES"/>
        </w:rPr>
      </w:pPr>
    </w:p>
    <w:p w:rsidR="002E36CE" w:rsidRPr="00440300" w:rsidRDefault="00A975B5">
      <w:pPr>
        <w:pStyle w:val="Textoindependiente"/>
        <w:spacing w:before="224" w:line="259" w:lineRule="auto"/>
        <w:ind w:left="481" w:right="971"/>
        <w:jc w:val="both"/>
      </w:pPr>
      <w:r>
        <w:t>La amortización se efectúa siguiendo el método lineal o degresivo para determinados elementos, distribuyendo el coste de los activos entre los años de vida útil estimada, y de acuerdo con los coeficientes de amortización máximos autorizados por la legislación fiscal vigente para cada sección de actividad. Los elementos utilizados son amortizados aplicando coeficientes dobles, de acuerdo con la legislación vigente. Los patrones de la Fundación consideran que el valor contable de los activos no supera el valor recuperable de los mismos.</w:t>
      </w:r>
    </w:p>
    <w:p w:rsidR="002E36CE" w:rsidRPr="00440300" w:rsidRDefault="002E36CE">
      <w:pPr>
        <w:pStyle w:val="Textoindependiente"/>
        <w:spacing w:before="6"/>
        <w:rPr>
          <w:sz w:val="20"/>
          <w:lang w:val="ca-ES"/>
        </w:rPr>
      </w:pPr>
    </w:p>
    <w:p w:rsidR="002E36CE" w:rsidRPr="00440300" w:rsidRDefault="00A975B5">
      <w:pPr>
        <w:pStyle w:val="Textoindependiente"/>
        <w:spacing w:line="259" w:lineRule="auto"/>
        <w:ind w:left="481" w:right="973"/>
        <w:jc w:val="both"/>
      </w:pPr>
      <w:r>
        <w:t>El beneficio o la pérdida resultante de la enajenación o el retiro de un activo se calcula como la diferencia entre el importe de la venta y el importe en libros del activo, y se reconoce en la cuenta de resultados.</w:t>
      </w:r>
    </w:p>
    <w:p w:rsidR="002E36CE" w:rsidRPr="00440300" w:rsidRDefault="002E36CE">
      <w:pPr>
        <w:pStyle w:val="Textoindependiente"/>
        <w:spacing w:before="9"/>
        <w:rPr>
          <w:sz w:val="20"/>
          <w:lang w:val="ca-ES"/>
        </w:rPr>
      </w:pPr>
    </w:p>
    <w:p w:rsidR="002E36CE" w:rsidRPr="00440300" w:rsidRDefault="00A975B5" w:rsidP="00A975B5">
      <w:pPr>
        <w:pStyle w:val="Textoindependiente"/>
        <w:spacing w:line="259" w:lineRule="auto"/>
        <w:ind w:left="481" w:right="971"/>
        <w:jc w:val="both"/>
      </w:pPr>
      <w:r>
        <w:t>Para los inmovilizados que necesitan un periodo de tiempo superior a un año para estar en condiciones de uso, los costes capitalizados incluyen los gastos financieros que se hayan devengado antes de la puesta en condiciones de funcionamiento del bien y que hayan sido girados por el proveedor o correspondan a préstamos u otro tipo de financiación ajena, específica o genérica, directamente atribuible a la adquisición o fabricación del mismo.</w:t>
      </w:r>
    </w:p>
    <w:p w:rsidR="002E36CE" w:rsidRDefault="002E36CE">
      <w:pPr>
        <w:pStyle w:val="Textoindependiente"/>
        <w:rPr>
          <w:sz w:val="26"/>
          <w:lang w:val="ca-ES"/>
        </w:rPr>
      </w:pPr>
    </w:p>
    <w:p w:rsidR="00A975B5" w:rsidRPr="00440300" w:rsidRDefault="00A975B5">
      <w:pPr>
        <w:pStyle w:val="Textoindependiente"/>
        <w:rPr>
          <w:sz w:val="26"/>
          <w:lang w:val="ca-ES"/>
        </w:rPr>
      </w:pPr>
    </w:p>
    <w:p w:rsidR="002E36CE" w:rsidRPr="00440300" w:rsidRDefault="002E36CE">
      <w:pPr>
        <w:pStyle w:val="Textoindependiente"/>
        <w:spacing w:before="9"/>
        <w:rPr>
          <w:sz w:val="38"/>
          <w:lang w:val="ca-ES"/>
        </w:rPr>
      </w:pPr>
    </w:p>
    <w:p w:rsidR="002E36CE" w:rsidRPr="00440300" w:rsidRDefault="00A975B5">
      <w:pPr>
        <w:pStyle w:val="Prrafodelista"/>
        <w:numPr>
          <w:ilvl w:val="1"/>
          <w:numId w:val="4"/>
        </w:numPr>
        <w:tabs>
          <w:tab w:val="left" w:pos="829"/>
          <w:tab w:val="left" w:pos="830"/>
        </w:tabs>
        <w:ind w:left="830" w:hanging="708"/>
        <w:rPr>
          <w:rFonts w:ascii="Lucida Sans"/>
          <w:b/>
        </w:rPr>
      </w:pPr>
      <w:r>
        <w:rPr>
          <w:rFonts w:ascii="Lucida Sans"/>
          <w:b/>
        </w:rPr>
        <w:lastRenderedPageBreak/>
        <w:t>Instrumentos financieros</w:t>
      </w:r>
    </w:p>
    <w:p w:rsidR="002E36CE" w:rsidRPr="00440300" w:rsidRDefault="00A975B5" w:rsidP="00E8459B">
      <w:pPr>
        <w:pStyle w:val="Ttulo1"/>
        <w:numPr>
          <w:ilvl w:val="2"/>
          <w:numId w:val="3"/>
        </w:numPr>
        <w:tabs>
          <w:tab w:val="left" w:pos="1019"/>
        </w:tabs>
        <w:spacing w:line="494" w:lineRule="auto"/>
        <w:ind w:right="6112" w:firstLine="0"/>
        <w:rPr>
          <w:u w:val="none"/>
        </w:rPr>
      </w:pPr>
      <w:r>
        <w:t xml:space="preserve">Activos financieros </w:t>
      </w:r>
      <w:r>
        <w:rPr>
          <w:u w:val="none"/>
        </w:rPr>
        <w:t>Clasificación</w:t>
      </w:r>
    </w:p>
    <w:p w:rsidR="002E36CE" w:rsidRPr="00440300" w:rsidRDefault="00A975B5">
      <w:pPr>
        <w:pStyle w:val="Textoindependiente"/>
        <w:spacing w:before="9" w:line="259" w:lineRule="auto"/>
        <w:ind w:left="405" w:right="1449"/>
      </w:pPr>
      <w:r>
        <w:t>Los activos financieros que posee la Fundación se clasifican en las siguientes categorías:</w:t>
      </w:r>
    </w:p>
    <w:p w:rsidR="002E36CE" w:rsidRPr="00440300" w:rsidRDefault="002E36CE">
      <w:pPr>
        <w:pStyle w:val="Textoindependiente"/>
        <w:spacing w:before="8"/>
        <w:rPr>
          <w:sz w:val="23"/>
          <w:lang w:val="ca-ES"/>
        </w:rPr>
      </w:pPr>
    </w:p>
    <w:p w:rsidR="002E36CE" w:rsidRPr="00440300" w:rsidRDefault="00A975B5">
      <w:pPr>
        <w:pStyle w:val="Textoindependiente"/>
        <w:spacing w:before="1" w:line="259" w:lineRule="auto"/>
        <w:ind w:left="841" w:right="978" w:hanging="360"/>
        <w:jc w:val="both"/>
      </w:pPr>
      <w:r>
        <w:t>a) Partidas por cobrar: activos financieros originados en la venta de bienes o en la prestación de servicios por operaciones de tráfico de la empresa o los que, por el hecho de no tener un origen comercial, no son instrumentos de patrimonio ni derivados, cobros que sean de cuantía fija o determinable y no se negocien en un mercado activo.</w:t>
      </w:r>
    </w:p>
    <w:p w:rsidR="002E36CE" w:rsidRPr="00440300" w:rsidRDefault="00A975B5">
      <w:pPr>
        <w:pStyle w:val="Ttulo1"/>
        <w:numPr>
          <w:ilvl w:val="2"/>
          <w:numId w:val="3"/>
        </w:numPr>
        <w:tabs>
          <w:tab w:val="left" w:pos="1019"/>
        </w:tabs>
        <w:spacing w:before="225"/>
        <w:ind w:left="1018" w:hanging="613"/>
        <w:rPr>
          <w:u w:val="none"/>
        </w:rPr>
      </w:pPr>
      <w:r>
        <w:t>Pasivos financieros</w:t>
      </w:r>
    </w:p>
    <w:p w:rsidR="002E36CE" w:rsidRPr="00440300" w:rsidRDefault="002E36CE">
      <w:pPr>
        <w:pStyle w:val="Textoindependiente"/>
        <w:spacing w:before="4"/>
        <w:rPr>
          <w:i/>
          <w:sz w:val="25"/>
          <w:lang w:val="ca-ES"/>
        </w:rPr>
      </w:pPr>
    </w:p>
    <w:p w:rsidR="002E36CE" w:rsidRPr="00440300" w:rsidRDefault="00A975B5">
      <w:pPr>
        <w:pStyle w:val="Textoindependiente"/>
        <w:spacing w:line="259" w:lineRule="auto"/>
        <w:ind w:left="405" w:right="977"/>
        <w:jc w:val="both"/>
      </w:pPr>
      <w:r>
        <w:t>Son pasivos financieros los débitos y las partidas que tiene la Fundación para pagar y que se han originado en la compra de bienes y servicios por operaciones de tráfico de la empresa, o también los que, como no tienen un origen comercial, no pueden ser considerados instrumentos financieros derivados.</w:t>
      </w:r>
    </w:p>
    <w:p w:rsidR="002E36CE" w:rsidRPr="00440300" w:rsidRDefault="00A975B5">
      <w:pPr>
        <w:pStyle w:val="Textoindependiente"/>
        <w:spacing w:line="259" w:lineRule="auto"/>
        <w:ind w:left="405" w:right="975"/>
        <w:jc w:val="both"/>
      </w:pPr>
      <w:r>
        <w:t>Los débitos y las partidas por pagar se valoran inicialmente según el valor razonable de la contraprestación recibida, ajustada por los costes de la transacción directamente atribuibles. Con posterioridad, dichos pasivos se valoran de acuerdo con su coste amortizado.</w:t>
      </w:r>
    </w:p>
    <w:p w:rsidR="002E36CE" w:rsidRPr="00440300" w:rsidRDefault="002E36CE">
      <w:pPr>
        <w:pStyle w:val="Textoindependiente"/>
        <w:spacing w:before="3"/>
        <w:rPr>
          <w:sz w:val="23"/>
          <w:lang w:val="ca-ES"/>
        </w:rPr>
      </w:pPr>
    </w:p>
    <w:p w:rsidR="002E36CE" w:rsidRPr="00440300" w:rsidRDefault="00A975B5" w:rsidP="00E8459B">
      <w:pPr>
        <w:pStyle w:val="Textoindependiente"/>
        <w:spacing w:line="259" w:lineRule="auto"/>
        <w:ind w:left="405" w:right="975"/>
        <w:jc w:val="both"/>
      </w:pPr>
      <w:r>
        <w:t>La Fundación da de baja los pasivos financieros cuando se extinguen las</w:t>
      </w:r>
      <w:r w:rsidR="00E8459B">
        <w:t xml:space="preserve"> </w:t>
      </w:r>
      <w:r>
        <w:t>obligaciones que los han generado.</w:t>
      </w:r>
    </w:p>
    <w:p w:rsidR="002E36CE" w:rsidRPr="00440300" w:rsidRDefault="002E36CE">
      <w:pPr>
        <w:pStyle w:val="Textoindependiente"/>
        <w:rPr>
          <w:sz w:val="26"/>
          <w:lang w:val="ca-ES"/>
        </w:rPr>
      </w:pPr>
    </w:p>
    <w:p w:rsidR="002E36CE" w:rsidRPr="00440300" w:rsidRDefault="002E36CE">
      <w:pPr>
        <w:pStyle w:val="Textoindependiente"/>
        <w:spacing w:before="5"/>
        <w:rPr>
          <w:lang w:val="ca-ES"/>
        </w:rPr>
      </w:pPr>
    </w:p>
    <w:p w:rsidR="002E36CE" w:rsidRPr="00440300" w:rsidRDefault="00A975B5">
      <w:pPr>
        <w:pStyle w:val="Prrafodelista"/>
        <w:numPr>
          <w:ilvl w:val="1"/>
          <w:numId w:val="4"/>
        </w:numPr>
        <w:tabs>
          <w:tab w:val="left" w:pos="552"/>
        </w:tabs>
        <w:spacing w:before="1"/>
        <w:ind w:hanging="429"/>
        <w:rPr>
          <w:rFonts w:ascii="Lucida Sans"/>
          <w:b/>
        </w:rPr>
      </w:pPr>
      <w:r>
        <w:rPr>
          <w:rFonts w:ascii="Lucida Sans"/>
          <w:b/>
        </w:rPr>
        <w:t>Impuestos sobre beneficios</w:t>
      </w:r>
    </w:p>
    <w:p w:rsidR="002E36CE" w:rsidRPr="00440300" w:rsidRDefault="00A975B5">
      <w:pPr>
        <w:pStyle w:val="Textoindependiente"/>
        <w:spacing w:before="169" w:line="259" w:lineRule="auto"/>
        <w:ind w:left="405" w:right="972"/>
        <w:jc w:val="both"/>
      </w:pPr>
      <w:r>
        <w:t>La Fundación, dado que no tiene ánimo de lucro, está exenta del Impuesto de Sociedades, en aplicación de la normativa establecida por la Ley 49/2002, de régimen fiscal de las entidades sin fines lucrativos, con respecto a los resultados y a los incrementos de patrimonio relacionados con su objeto social y sus fines específicos. En cambio, no están exentos de dichos impuestos los rendimientos de capital obtenidos, los rendimientos que se puedan derivar de explotaciones económicas no declaradas exentas por las autoridades fiscales y de la cesión de uso de su patrimonio, ni los incrementos de patrimonio que se obtengan de los bienes no afectos a su objeto social o a su finalidad específica.</w:t>
      </w:r>
    </w:p>
    <w:p w:rsidR="002E36CE" w:rsidRPr="00440300" w:rsidRDefault="002E36CE">
      <w:pPr>
        <w:spacing w:line="259" w:lineRule="auto"/>
        <w:jc w:val="both"/>
        <w:rPr>
          <w:lang w:val="ca-ES"/>
        </w:rPr>
        <w:sectPr w:rsidR="002E36CE" w:rsidRPr="00440300">
          <w:pgSz w:w="12240" w:h="15840"/>
          <w:pgMar w:top="1200" w:right="720" w:bottom="280" w:left="1580" w:header="720" w:footer="720" w:gutter="0"/>
          <w:cols w:space="720"/>
        </w:sectPr>
      </w:pPr>
    </w:p>
    <w:p w:rsidR="002E36CE" w:rsidRPr="00440300" w:rsidRDefault="00A975B5">
      <w:pPr>
        <w:pStyle w:val="Prrafodelista"/>
        <w:numPr>
          <w:ilvl w:val="1"/>
          <w:numId w:val="4"/>
        </w:numPr>
        <w:tabs>
          <w:tab w:val="left" w:pos="552"/>
        </w:tabs>
        <w:spacing w:before="81"/>
        <w:ind w:hanging="429"/>
        <w:rPr>
          <w:rFonts w:ascii="Lucida Sans" w:hAnsi="Lucida Sans"/>
          <w:b/>
        </w:rPr>
      </w:pPr>
      <w:r>
        <w:rPr>
          <w:rFonts w:ascii="Lucida Sans" w:hAnsi="Lucida Sans"/>
          <w:b/>
        </w:rPr>
        <w:lastRenderedPageBreak/>
        <w:t>Provisiones y contingencias</w:t>
      </w:r>
    </w:p>
    <w:p w:rsidR="002E36CE" w:rsidRPr="00440300" w:rsidRDefault="00A975B5">
      <w:pPr>
        <w:pStyle w:val="Textoindependiente"/>
        <w:spacing w:before="166" w:line="259" w:lineRule="auto"/>
        <w:ind w:left="405" w:right="1449"/>
      </w:pPr>
      <w:r>
        <w:t>Los patrones de la Fundación, en la elaboración de las cuentas anuales, diferencian entre:</w:t>
      </w:r>
    </w:p>
    <w:p w:rsidR="002E36CE" w:rsidRPr="00440300" w:rsidRDefault="002E36CE">
      <w:pPr>
        <w:pStyle w:val="Textoindependiente"/>
        <w:spacing w:before="8"/>
        <w:rPr>
          <w:sz w:val="23"/>
          <w:lang w:val="ca-ES"/>
        </w:rPr>
      </w:pPr>
    </w:p>
    <w:p w:rsidR="002E36CE" w:rsidRPr="00440300" w:rsidRDefault="00A975B5">
      <w:pPr>
        <w:pStyle w:val="Prrafodelista"/>
        <w:numPr>
          <w:ilvl w:val="0"/>
          <w:numId w:val="2"/>
        </w:numPr>
        <w:tabs>
          <w:tab w:val="left" w:pos="830"/>
        </w:tabs>
        <w:spacing w:line="259" w:lineRule="auto"/>
        <w:ind w:right="975" w:firstLine="0"/>
        <w:jc w:val="both"/>
      </w:pPr>
      <w:r>
        <w:t>Provisiones: saldos acreedores que cubren obligaciones actuales derivadas de sucesos pasados, cuya cancelación es probable que origine una salida de recursos, pero que resultan indeterminados en cuanto al importe o el momento de cancelación.</w:t>
      </w:r>
    </w:p>
    <w:p w:rsidR="002E36CE" w:rsidRPr="00440300" w:rsidRDefault="002E36CE">
      <w:pPr>
        <w:pStyle w:val="Textoindependiente"/>
        <w:spacing w:before="6"/>
        <w:rPr>
          <w:sz w:val="23"/>
          <w:lang w:val="ca-ES"/>
        </w:rPr>
      </w:pPr>
    </w:p>
    <w:p w:rsidR="002E36CE" w:rsidRPr="00440300" w:rsidRDefault="00A975B5">
      <w:pPr>
        <w:pStyle w:val="Prrafodelista"/>
        <w:numPr>
          <w:ilvl w:val="0"/>
          <w:numId w:val="2"/>
        </w:numPr>
        <w:tabs>
          <w:tab w:val="left" w:pos="830"/>
        </w:tabs>
        <w:spacing w:line="259" w:lineRule="auto"/>
        <w:ind w:right="977" w:firstLine="0"/>
        <w:jc w:val="both"/>
      </w:pPr>
      <w:r>
        <w:t>Pasivos contingentes: posibles obligaciones, surgidas como consecuencia de sucesos pasados, cuya materialización futura está condicionada a que suceda, o no, uno o más eventos futuros, independientes de la voluntad de la Fundación.</w:t>
      </w:r>
    </w:p>
    <w:p w:rsidR="002E36CE" w:rsidRPr="00440300" w:rsidRDefault="002E36CE">
      <w:pPr>
        <w:pStyle w:val="Textoindependiente"/>
        <w:spacing w:before="9"/>
        <w:rPr>
          <w:sz w:val="33"/>
          <w:lang w:val="ca-ES"/>
        </w:rPr>
      </w:pPr>
    </w:p>
    <w:p w:rsidR="002E36CE" w:rsidRPr="00440300" w:rsidRDefault="00A975B5">
      <w:pPr>
        <w:pStyle w:val="Textoindependiente"/>
        <w:spacing w:line="259" w:lineRule="auto"/>
        <w:ind w:left="405" w:right="975"/>
        <w:jc w:val="both"/>
      </w:pPr>
      <w:r>
        <w:t>Las cuentas anuales recogen todas las provisiones con respecto a las que se estima que la probabilidad de tener que atender la obligación es mayor que la probabilidad contraria. Los pasivos contingentes no se reconocen en las cuentas anuales, sino que se informan en las notas de la Memoria, siempre que no sean considerados remotos.</w:t>
      </w:r>
    </w:p>
    <w:p w:rsidR="002E36CE" w:rsidRPr="00440300" w:rsidRDefault="00A975B5">
      <w:pPr>
        <w:pStyle w:val="Textoindependiente"/>
        <w:spacing w:before="117" w:line="259" w:lineRule="auto"/>
        <w:ind w:left="405" w:right="977"/>
        <w:jc w:val="both"/>
      </w:pPr>
      <w:r>
        <w:t>Las provisiones se valoran por el valor actual de la mejor estimación posible del importe necesario para cancelar o transferir la obligación, teniendo en cuenta la información disponible sobre el suceso y sus consecuencias. Los ajustes que surjan por haber actualizado estas provisiones se registran como un gasto financiero conforme se devenga.</w:t>
      </w:r>
    </w:p>
    <w:p w:rsidR="002E36CE" w:rsidRPr="00440300" w:rsidRDefault="002E36CE">
      <w:pPr>
        <w:pStyle w:val="Textoindependiente"/>
        <w:rPr>
          <w:sz w:val="26"/>
          <w:lang w:val="ca-ES"/>
        </w:rPr>
      </w:pPr>
    </w:p>
    <w:p w:rsidR="002E36CE" w:rsidRPr="00440300" w:rsidRDefault="002E36CE">
      <w:pPr>
        <w:pStyle w:val="Textoindependiente"/>
        <w:spacing w:before="6"/>
        <w:rPr>
          <w:sz w:val="20"/>
          <w:lang w:val="ca-ES"/>
        </w:rPr>
      </w:pPr>
    </w:p>
    <w:p w:rsidR="002E36CE" w:rsidRPr="00440300" w:rsidRDefault="00A975B5">
      <w:pPr>
        <w:pStyle w:val="Prrafodelista"/>
        <w:numPr>
          <w:ilvl w:val="1"/>
          <w:numId w:val="4"/>
        </w:numPr>
        <w:tabs>
          <w:tab w:val="left" w:pos="552"/>
        </w:tabs>
        <w:ind w:hanging="429"/>
        <w:rPr>
          <w:rFonts w:ascii="Lucida Sans"/>
          <w:b/>
        </w:rPr>
      </w:pPr>
      <w:r>
        <w:rPr>
          <w:rFonts w:ascii="Lucida Sans"/>
          <w:b/>
        </w:rPr>
        <w:t>Indemnizaciones por despido</w:t>
      </w:r>
    </w:p>
    <w:p w:rsidR="002E36CE" w:rsidRPr="00440300" w:rsidRDefault="00A975B5">
      <w:pPr>
        <w:pStyle w:val="Textoindependiente"/>
        <w:spacing w:before="168" w:line="259" w:lineRule="auto"/>
        <w:ind w:left="405" w:right="979"/>
        <w:jc w:val="both"/>
      </w:pPr>
      <w:r>
        <w:t>De acuerdo con la legislación vigente, la Fundación está obligada a pagar indemnizaciones a los empleados a quienes, en determinadas condiciones, les rescinda la relación laboral. Por tanto, las indemnizaciones por despido susceptibles de cuantificación razonable se registran como gasto en el ejercicio en que se adopta la decisión del despido y se crea una expectativa válida para con terceras personas.</w:t>
      </w:r>
    </w:p>
    <w:p w:rsidR="002E36CE" w:rsidRPr="00440300" w:rsidRDefault="002E36CE">
      <w:pPr>
        <w:pStyle w:val="Textoindependiente"/>
        <w:spacing w:before="5"/>
        <w:rPr>
          <w:sz w:val="23"/>
          <w:lang w:val="ca-ES"/>
        </w:rPr>
      </w:pPr>
    </w:p>
    <w:p w:rsidR="002E36CE" w:rsidRPr="00440300" w:rsidRDefault="00A975B5">
      <w:pPr>
        <w:pStyle w:val="Textoindependiente"/>
        <w:spacing w:line="256" w:lineRule="auto"/>
        <w:ind w:left="405" w:right="972"/>
        <w:jc w:val="both"/>
      </w:pPr>
      <w:r>
        <w:t>Durante el ejercicio 2018 el gasto registrado por este concepto es de 526,66 euros.</w:t>
      </w:r>
    </w:p>
    <w:p w:rsidR="002E36CE" w:rsidRPr="00440300" w:rsidRDefault="002E36CE">
      <w:pPr>
        <w:pStyle w:val="Textoindependiente"/>
        <w:rPr>
          <w:sz w:val="26"/>
          <w:lang w:val="ca-ES"/>
        </w:rPr>
      </w:pPr>
    </w:p>
    <w:p w:rsidR="002E36CE" w:rsidRPr="00440300" w:rsidRDefault="002E36CE">
      <w:pPr>
        <w:pStyle w:val="Textoindependiente"/>
        <w:rPr>
          <w:sz w:val="21"/>
          <w:lang w:val="ca-ES"/>
        </w:rPr>
      </w:pPr>
    </w:p>
    <w:p w:rsidR="002E36CE" w:rsidRPr="00440300" w:rsidRDefault="00A975B5">
      <w:pPr>
        <w:pStyle w:val="Prrafodelista"/>
        <w:numPr>
          <w:ilvl w:val="1"/>
          <w:numId w:val="4"/>
        </w:numPr>
        <w:tabs>
          <w:tab w:val="left" w:pos="552"/>
        </w:tabs>
        <w:ind w:hanging="429"/>
        <w:rPr>
          <w:rFonts w:ascii="Lucida Sans"/>
          <w:b/>
        </w:rPr>
      </w:pPr>
      <w:r>
        <w:rPr>
          <w:rFonts w:ascii="Lucida Sans"/>
          <w:b/>
        </w:rPr>
        <w:t>Subvenciones, donaciones y legados</w:t>
      </w:r>
    </w:p>
    <w:p w:rsidR="002E36CE" w:rsidRPr="00440300" w:rsidRDefault="00A975B5">
      <w:pPr>
        <w:pStyle w:val="Textoindependiente"/>
        <w:spacing w:before="169" w:line="256" w:lineRule="auto"/>
        <w:ind w:left="405" w:right="1449"/>
      </w:pPr>
      <w:r>
        <w:t>Para la contabilización de las subvenciones, donaciones y legados recibidos, la Fundación aplica los siguientes criterios:</w:t>
      </w:r>
    </w:p>
    <w:p w:rsidR="002E36CE" w:rsidRPr="00440300" w:rsidRDefault="002E36CE">
      <w:pPr>
        <w:pStyle w:val="Textoindependiente"/>
        <w:spacing w:before="1"/>
        <w:rPr>
          <w:sz w:val="24"/>
          <w:lang w:val="ca-ES"/>
        </w:rPr>
      </w:pPr>
    </w:p>
    <w:p w:rsidR="002E36CE" w:rsidRPr="00A975B5" w:rsidRDefault="00A975B5" w:rsidP="00A975B5">
      <w:pPr>
        <w:pStyle w:val="Prrafodelista"/>
        <w:numPr>
          <w:ilvl w:val="0"/>
          <w:numId w:val="1"/>
        </w:numPr>
        <w:tabs>
          <w:tab w:val="left" w:pos="689"/>
        </w:tabs>
        <w:spacing w:before="86" w:line="259" w:lineRule="auto"/>
        <w:ind w:right="975" w:hanging="283"/>
        <w:jc w:val="both"/>
      </w:pPr>
      <w:r>
        <w:t>Subvenciones, donaciones y legados de capital no reintegrables: se valoran por el valor razonable del importe o el bien concedido, en función de si son de carácter monetario o no, y se imputan a resultados en proporción de la dotación a la amortización efectuada en el periodo para los elementos subvencionados o, en su caso, cuando se produzca su enajenación o la corrección valorativa por deterioro, a excepción de las recibidas de patrones, las cuales, si no tienen finalidad específica, se registran directamente en los fondos propios y no constituyen ingreso.</w:t>
      </w:r>
    </w:p>
    <w:p w:rsidR="002E36CE" w:rsidRPr="00440300" w:rsidRDefault="002E36CE">
      <w:pPr>
        <w:pStyle w:val="Textoindependiente"/>
        <w:spacing w:before="7"/>
        <w:rPr>
          <w:sz w:val="23"/>
          <w:lang w:val="ca-ES"/>
        </w:rPr>
      </w:pPr>
    </w:p>
    <w:p w:rsidR="002E36CE" w:rsidRPr="00440300" w:rsidRDefault="00A975B5" w:rsidP="00E8459B">
      <w:pPr>
        <w:pStyle w:val="Prrafodelista"/>
        <w:keepLines/>
        <w:numPr>
          <w:ilvl w:val="0"/>
          <w:numId w:val="1"/>
        </w:numPr>
        <w:tabs>
          <w:tab w:val="left" w:pos="689"/>
        </w:tabs>
        <w:spacing w:line="259" w:lineRule="auto"/>
        <w:ind w:left="687" w:right="975"/>
        <w:jc w:val="both"/>
        <w:rPr>
          <w:sz w:val="18"/>
        </w:rPr>
      </w:pPr>
      <w:r>
        <w:lastRenderedPageBreak/>
        <w:t xml:space="preserve">Subvenciones de explotación: se abonan a resultados en el momento en que se conceden, excepto si se destinan a financiar déficit de explotación de ejercicios futuros; en este caso, se imputarán en dichos ejercicios. Si se conceden para financiar gastos específicos, la imputación se realizará a medida que se devenguen los gastos </w:t>
      </w:r>
      <w:r w:rsidRPr="00E8459B">
        <w:t>financiados.</w:t>
      </w:r>
    </w:p>
    <w:p w:rsidR="002E36CE" w:rsidRPr="00440300" w:rsidRDefault="002E36CE">
      <w:pPr>
        <w:pStyle w:val="Textoindependiente"/>
        <w:rPr>
          <w:sz w:val="35"/>
          <w:lang w:val="ca-ES"/>
        </w:rPr>
      </w:pPr>
    </w:p>
    <w:p w:rsidR="002E36CE" w:rsidRPr="00440300" w:rsidRDefault="00A975B5">
      <w:pPr>
        <w:pStyle w:val="Prrafodelista"/>
        <w:numPr>
          <w:ilvl w:val="1"/>
          <w:numId w:val="4"/>
        </w:numPr>
        <w:tabs>
          <w:tab w:val="left" w:pos="552"/>
        </w:tabs>
        <w:ind w:hanging="429"/>
        <w:rPr>
          <w:rFonts w:ascii="Lucida Sans"/>
          <w:b/>
        </w:rPr>
      </w:pPr>
      <w:r>
        <w:rPr>
          <w:rFonts w:ascii="Lucida Sans"/>
          <w:b/>
        </w:rPr>
        <w:t>Ingresos y gastos</w:t>
      </w:r>
    </w:p>
    <w:p w:rsidR="002E36CE" w:rsidRPr="00440300" w:rsidRDefault="00A975B5">
      <w:pPr>
        <w:pStyle w:val="Textoindependiente"/>
        <w:spacing w:before="169" w:line="259" w:lineRule="auto"/>
        <w:ind w:left="405" w:right="972"/>
        <w:jc w:val="both"/>
      </w:pPr>
      <w:r>
        <w:t>Los ingresos y gastos se imputan en función del criterio de devengo, es decir, cuando se produce la corriente real de bienes y servicios que representan, con independencia del momento en que se produzca la corriente monetaria o financiera derivada. Como consecuencia de este criterio, los ingresos obtenidos con cursos que se llevan a cabo total o parcialmente durante el ejercicio siguiente se periodifican en función de su devengo.</w:t>
      </w:r>
    </w:p>
    <w:p w:rsidR="002E36CE" w:rsidRPr="00440300" w:rsidRDefault="002E36CE">
      <w:pPr>
        <w:pStyle w:val="Textoindependiente"/>
        <w:spacing w:before="4"/>
        <w:rPr>
          <w:sz w:val="23"/>
          <w:lang w:val="ca-ES"/>
        </w:rPr>
      </w:pPr>
    </w:p>
    <w:p w:rsidR="002E36CE" w:rsidRPr="00440300" w:rsidRDefault="00A975B5">
      <w:pPr>
        <w:pStyle w:val="Textoindependiente"/>
        <w:spacing w:line="259" w:lineRule="auto"/>
        <w:ind w:left="405" w:right="976"/>
        <w:jc w:val="both"/>
      </w:pPr>
      <w:r>
        <w:t>Los ingresos por prestación de servicios se reconocen considerando el grado de realización de la prestación en la fecha del balance, siempre que el resultado de la prestación se estime con fiabilidad.</w:t>
      </w:r>
    </w:p>
    <w:p w:rsidR="002E36CE" w:rsidRPr="00440300" w:rsidRDefault="002E36CE">
      <w:pPr>
        <w:pStyle w:val="Textoindependiente"/>
        <w:rPr>
          <w:sz w:val="26"/>
          <w:lang w:val="ca-ES"/>
        </w:rPr>
      </w:pPr>
    </w:p>
    <w:p w:rsidR="002E36CE" w:rsidRPr="00440300" w:rsidRDefault="002E36CE">
      <w:pPr>
        <w:pStyle w:val="Textoindependiente"/>
        <w:spacing w:before="7"/>
        <w:rPr>
          <w:sz w:val="20"/>
          <w:lang w:val="ca-ES"/>
        </w:rPr>
      </w:pPr>
    </w:p>
    <w:p w:rsidR="002E36CE" w:rsidRPr="00440300" w:rsidRDefault="00A975B5">
      <w:pPr>
        <w:pStyle w:val="Prrafodelista"/>
        <w:numPr>
          <w:ilvl w:val="1"/>
          <w:numId w:val="4"/>
        </w:numPr>
        <w:tabs>
          <w:tab w:val="left" w:pos="552"/>
        </w:tabs>
        <w:ind w:hanging="429"/>
        <w:rPr>
          <w:rFonts w:ascii="Lucida Sans" w:hAnsi="Lucida Sans"/>
          <w:b/>
        </w:rPr>
      </w:pPr>
      <w:r>
        <w:rPr>
          <w:rFonts w:ascii="Lucida Sans" w:hAnsi="Lucida Sans"/>
          <w:b/>
        </w:rPr>
        <w:t>Clasificación entre activo y pasivo corriente y no corriente</w:t>
      </w:r>
    </w:p>
    <w:p w:rsidR="002E36CE" w:rsidRPr="00440300" w:rsidRDefault="00A975B5">
      <w:pPr>
        <w:pStyle w:val="Textoindependiente"/>
        <w:spacing w:before="166" w:line="259" w:lineRule="auto"/>
        <w:ind w:left="405" w:right="978"/>
        <w:jc w:val="both"/>
      </w:pPr>
      <w:r>
        <w:t>Los activos y pasivos se clasifican en corrientes y no corrientes. En este sentido, un activo o un pasivo corriente agrupa los elementos que la Fundación espera vender, consumir o realizar a lo largo del ciclo normal de explotación, otros elementos cuyo vencimiento, enajenación o realización se espera que se produzca en un año, y los clasificados como mantenidos para negociar, excepto los derivados a largo plazo, y los de efectivo y equivalentes. El resto se clasifican como no corrientes.</w:t>
      </w:r>
    </w:p>
    <w:p w:rsidR="002E36CE" w:rsidRPr="00440300" w:rsidRDefault="002E36CE">
      <w:pPr>
        <w:pStyle w:val="Textoindependiente"/>
        <w:rPr>
          <w:sz w:val="26"/>
          <w:lang w:val="ca-ES"/>
        </w:rPr>
      </w:pPr>
    </w:p>
    <w:p w:rsidR="002E36CE" w:rsidRPr="00440300" w:rsidRDefault="002E36CE">
      <w:pPr>
        <w:pStyle w:val="Textoindependiente"/>
        <w:spacing w:before="7"/>
        <w:rPr>
          <w:sz w:val="30"/>
          <w:lang w:val="ca-ES"/>
        </w:rPr>
      </w:pPr>
    </w:p>
    <w:p w:rsidR="002E36CE" w:rsidRPr="00440300" w:rsidRDefault="00A975B5">
      <w:pPr>
        <w:pStyle w:val="Prrafodelista"/>
        <w:numPr>
          <w:ilvl w:val="1"/>
          <w:numId w:val="4"/>
        </w:numPr>
        <w:tabs>
          <w:tab w:val="left" w:pos="552"/>
        </w:tabs>
        <w:ind w:hanging="429"/>
        <w:rPr>
          <w:rFonts w:ascii="Lucida Sans"/>
          <w:b/>
        </w:rPr>
      </w:pPr>
      <w:r>
        <w:rPr>
          <w:rFonts w:ascii="Lucida Sans"/>
          <w:b/>
        </w:rPr>
        <w:t>Transacciones con entidades del grupo, multigrupo y asociadas</w:t>
      </w:r>
    </w:p>
    <w:p w:rsidR="002E36CE" w:rsidRPr="00440300" w:rsidRDefault="00A975B5">
      <w:pPr>
        <w:pStyle w:val="Textoindependiente"/>
        <w:spacing w:before="166" w:line="259" w:lineRule="auto"/>
        <w:ind w:left="405" w:right="834"/>
      </w:pPr>
      <w:r>
        <w:t>A efectos de la presentación de las cuentas anuales, se consideran entidades del grupo, multigrupo y asociadas las siguientes:</w:t>
      </w:r>
    </w:p>
    <w:p w:rsidR="002E36CE" w:rsidRPr="00440300" w:rsidRDefault="002E36CE">
      <w:pPr>
        <w:pStyle w:val="Textoindependiente"/>
        <w:rPr>
          <w:sz w:val="20"/>
          <w:lang w:val="ca-ES"/>
        </w:rPr>
      </w:pPr>
    </w:p>
    <w:p w:rsidR="002E36CE" w:rsidRPr="00440300" w:rsidRDefault="002E36CE">
      <w:pPr>
        <w:pStyle w:val="Textoindependiente"/>
        <w:spacing w:before="4" w:after="1"/>
        <w:rPr>
          <w:sz w:val="26"/>
          <w:lang w:val="ca-ES"/>
        </w:rPr>
      </w:pPr>
    </w:p>
    <w:tbl>
      <w:tblPr>
        <w:tblStyle w:val="TableNormal"/>
        <w:tblW w:w="0" w:type="auto"/>
        <w:tblInd w:w="20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19"/>
      </w:tblGrid>
      <w:tr w:rsidR="002E36CE" w:rsidRPr="00440300">
        <w:trPr>
          <w:trHeight w:val="409"/>
        </w:trPr>
        <w:tc>
          <w:tcPr>
            <w:tcW w:w="5019" w:type="dxa"/>
            <w:tcBorders>
              <w:bottom w:val="single" w:sz="4" w:space="0" w:color="000000"/>
            </w:tcBorders>
          </w:tcPr>
          <w:p w:rsidR="002E36CE" w:rsidRPr="00440300" w:rsidRDefault="00A975B5">
            <w:pPr>
              <w:pStyle w:val="TableParagraph"/>
              <w:spacing w:before="11"/>
              <w:ind w:left="349" w:right="337"/>
              <w:jc w:val="center"/>
            </w:pPr>
            <w:r>
              <w:t>Entidades del grupo, multigrupo y asociadas</w:t>
            </w:r>
          </w:p>
        </w:tc>
      </w:tr>
      <w:tr w:rsidR="002E36CE" w:rsidRPr="00440300">
        <w:trPr>
          <w:trHeight w:val="817"/>
        </w:trPr>
        <w:tc>
          <w:tcPr>
            <w:tcW w:w="5019" w:type="dxa"/>
            <w:tcBorders>
              <w:top w:val="single" w:sz="4" w:space="0" w:color="000000"/>
              <w:left w:val="single" w:sz="4" w:space="0" w:color="000000"/>
              <w:bottom w:val="single" w:sz="4" w:space="0" w:color="000000"/>
            </w:tcBorders>
          </w:tcPr>
          <w:p w:rsidR="002E36CE" w:rsidRPr="00440300" w:rsidRDefault="002E36CE">
            <w:pPr>
              <w:pStyle w:val="TableParagraph"/>
              <w:spacing w:before="5"/>
              <w:rPr>
                <w:sz w:val="36"/>
                <w:lang w:val="ca-ES"/>
              </w:rPr>
            </w:pPr>
          </w:p>
          <w:p w:rsidR="002E36CE" w:rsidRPr="00440300" w:rsidRDefault="00A975B5">
            <w:pPr>
              <w:pStyle w:val="TableParagraph"/>
              <w:spacing w:before="1"/>
              <w:ind w:left="1915"/>
            </w:pPr>
            <w:r>
              <w:t>S.A. Damm</w:t>
            </w:r>
          </w:p>
        </w:tc>
      </w:tr>
    </w:tbl>
    <w:p w:rsidR="002E36CE" w:rsidRPr="00440300" w:rsidRDefault="002E36CE">
      <w:pPr>
        <w:rPr>
          <w:lang w:val="ca-ES"/>
        </w:rPr>
        <w:sectPr w:rsidR="002E36CE" w:rsidRPr="00440300">
          <w:pgSz w:w="12240" w:h="15840"/>
          <w:pgMar w:top="1200" w:right="720" w:bottom="280" w:left="1580" w:header="720" w:footer="720" w:gutter="0"/>
          <w:cols w:space="720"/>
        </w:sectPr>
      </w:pPr>
    </w:p>
    <w:p w:rsidR="002E36CE" w:rsidRPr="00440300" w:rsidRDefault="00A975B5">
      <w:pPr>
        <w:pStyle w:val="Textoindependiente"/>
        <w:spacing w:before="86" w:line="259" w:lineRule="auto"/>
        <w:ind w:left="405" w:right="972"/>
        <w:jc w:val="both"/>
      </w:pPr>
      <w:r>
        <w:lastRenderedPageBreak/>
        <w:t>La Fundación realiza todas sus operaciones con entidades del grupo, multigrupo y asociadas a valores de mercado. Adicionalmente, los precios de transferencia están soportados adecuadamente, por lo que los patrones de la Fundación consideran que no existen riesgos significativos en este aspecto de los que puedan derivarse pasivos de consideración en el futuro.</w:t>
      </w:r>
    </w:p>
    <w:p w:rsidR="002E36CE" w:rsidRPr="00440300" w:rsidRDefault="002E36CE">
      <w:pPr>
        <w:pStyle w:val="Textoindependiente"/>
        <w:rPr>
          <w:sz w:val="26"/>
          <w:lang w:val="ca-ES"/>
        </w:rPr>
      </w:pPr>
    </w:p>
    <w:p w:rsidR="002E36CE" w:rsidRPr="00440300" w:rsidRDefault="002E36CE">
      <w:pPr>
        <w:pStyle w:val="Textoindependiente"/>
        <w:spacing w:before="6"/>
        <w:rPr>
          <w:sz w:val="20"/>
          <w:lang w:val="ca-ES"/>
        </w:rPr>
      </w:pPr>
    </w:p>
    <w:p w:rsidR="002E36CE" w:rsidRPr="00440300" w:rsidRDefault="00A975B5">
      <w:pPr>
        <w:pStyle w:val="Prrafodelista"/>
        <w:numPr>
          <w:ilvl w:val="0"/>
          <w:numId w:val="4"/>
        </w:numPr>
        <w:tabs>
          <w:tab w:val="left" w:pos="367"/>
        </w:tabs>
        <w:ind w:left="366" w:hanging="244"/>
        <w:rPr>
          <w:rFonts w:ascii="Lucida Sans"/>
          <w:b/>
        </w:rPr>
      </w:pPr>
      <w:r>
        <w:rPr>
          <w:rFonts w:ascii="Lucida Sans"/>
          <w:b/>
        </w:rPr>
        <w:t>Inmovilizado material</w:t>
      </w:r>
    </w:p>
    <w:p w:rsidR="002E36CE" w:rsidRPr="00440300" w:rsidRDefault="002E36CE">
      <w:pPr>
        <w:pStyle w:val="Textoindependiente"/>
        <w:spacing w:before="10"/>
        <w:rPr>
          <w:rFonts w:ascii="Lucida Sans"/>
          <w:b/>
          <w:sz w:val="24"/>
          <w:lang w:val="ca-ES"/>
        </w:rPr>
      </w:pPr>
    </w:p>
    <w:p w:rsidR="002E36CE" w:rsidRPr="00440300" w:rsidRDefault="00A975B5">
      <w:pPr>
        <w:pStyle w:val="Textoindependiente"/>
        <w:spacing w:before="1" w:line="259" w:lineRule="auto"/>
        <w:ind w:left="122" w:right="1449"/>
      </w:pPr>
      <w:r>
        <w:t>El movimiento de este capítulo del balance de situación en el ejercicio 2018 ha sido el siguiente:</w:t>
      </w:r>
    </w:p>
    <w:p w:rsidR="002E36CE" w:rsidRPr="00440300" w:rsidRDefault="002E36CE">
      <w:pPr>
        <w:pStyle w:val="Textoindependiente"/>
        <w:rPr>
          <w:sz w:val="20"/>
          <w:lang w:val="ca-ES"/>
        </w:rPr>
      </w:pPr>
    </w:p>
    <w:p w:rsidR="002E36CE" w:rsidRPr="00440300" w:rsidRDefault="002E36CE">
      <w:pPr>
        <w:pStyle w:val="Textoindependiente"/>
        <w:rPr>
          <w:sz w:val="26"/>
          <w:lang w:val="ca-ES"/>
        </w:rPr>
      </w:pPr>
    </w:p>
    <w:tbl>
      <w:tblPr>
        <w:tblStyle w:val="TableNormal"/>
        <w:tblW w:w="0" w:type="auto"/>
        <w:tblInd w:w="4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89"/>
        <w:gridCol w:w="1432"/>
      </w:tblGrid>
      <w:tr w:rsidR="002E36CE" w:rsidRPr="00440300">
        <w:trPr>
          <w:trHeight w:val="277"/>
        </w:trPr>
        <w:tc>
          <w:tcPr>
            <w:tcW w:w="5589" w:type="dxa"/>
          </w:tcPr>
          <w:p w:rsidR="002E36CE" w:rsidRPr="00440300" w:rsidRDefault="00A975B5">
            <w:pPr>
              <w:pStyle w:val="TableParagraph"/>
              <w:spacing w:before="11" w:line="241" w:lineRule="exact"/>
              <w:ind w:left="69"/>
            </w:pPr>
            <w:r>
              <w:t>TERRENOS Y CONSTRUCCIONES</w:t>
            </w:r>
          </w:p>
        </w:tc>
        <w:tc>
          <w:tcPr>
            <w:tcW w:w="1432" w:type="dxa"/>
          </w:tcPr>
          <w:p w:rsidR="002E36CE" w:rsidRPr="00440300" w:rsidRDefault="00A975B5">
            <w:pPr>
              <w:pStyle w:val="TableParagraph"/>
              <w:spacing w:before="11" w:line="241" w:lineRule="exact"/>
              <w:ind w:left="49" w:right="38"/>
              <w:jc w:val="center"/>
            </w:pPr>
            <w:r>
              <w:t>Euros</w:t>
            </w:r>
          </w:p>
        </w:tc>
      </w:tr>
      <w:tr w:rsidR="002E36CE" w:rsidRPr="00440300">
        <w:trPr>
          <w:trHeight w:val="272"/>
        </w:trPr>
        <w:tc>
          <w:tcPr>
            <w:tcW w:w="5589" w:type="dxa"/>
          </w:tcPr>
          <w:p w:rsidR="002E36CE" w:rsidRPr="00440300" w:rsidRDefault="00A975B5">
            <w:pPr>
              <w:pStyle w:val="TableParagraph"/>
              <w:spacing w:before="11" w:line="241" w:lineRule="exact"/>
              <w:ind w:left="69"/>
            </w:pPr>
            <w:r>
              <w:t>Saldos a 31 de diciembre de 2017</w:t>
            </w:r>
          </w:p>
        </w:tc>
        <w:tc>
          <w:tcPr>
            <w:tcW w:w="1432" w:type="dxa"/>
          </w:tcPr>
          <w:p w:rsidR="002E36CE" w:rsidRPr="00440300" w:rsidRDefault="00A975B5">
            <w:pPr>
              <w:pStyle w:val="TableParagraph"/>
              <w:spacing w:before="11" w:line="241" w:lineRule="exact"/>
              <w:ind w:left="49" w:right="38"/>
              <w:jc w:val="center"/>
            </w:pPr>
            <w:r>
              <w:t>1.385.882,25</w:t>
            </w:r>
          </w:p>
        </w:tc>
      </w:tr>
      <w:tr w:rsidR="002E36CE" w:rsidRPr="00440300">
        <w:trPr>
          <w:trHeight w:val="272"/>
        </w:trPr>
        <w:tc>
          <w:tcPr>
            <w:tcW w:w="5589" w:type="dxa"/>
            <w:tcBorders>
              <w:bottom w:val="nil"/>
            </w:tcBorders>
          </w:tcPr>
          <w:p w:rsidR="002E36CE" w:rsidRPr="00440300" w:rsidRDefault="00A975B5">
            <w:pPr>
              <w:pStyle w:val="TableParagraph"/>
              <w:spacing w:before="11" w:line="240" w:lineRule="exact"/>
              <w:ind w:left="69"/>
            </w:pPr>
            <w:r>
              <w:t>Entradas</w:t>
            </w:r>
          </w:p>
        </w:tc>
        <w:tc>
          <w:tcPr>
            <w:tcW w:w="1432" w:type="dxa"/>
            <w:tcBorders>
              <w:bottom w:val="nil"/>
            </w:tcBorders>
          </w:tcPr>
          <w:p w:rsidR="002E36CE" w:rsidRPr="00440300" w:rsidRDefault="00A975B5">
            <w:pPr>
              <w:pStyle w:val="TableParagraph"/>
              <w:spacing w:before="11" w:line="240" w:lineRule="exact"/>
              <w:ind w:left="9"/>
              <w:jc w:val="center"/>
            </w:pPr>
            <w:r>
              <w:t>-</w:t>
            </w:r>
          </w:p>
        </w:tc>
      </w:tr>
      <w:tr w:rsidR="002E36CE" w:rsidRPr="00440300">
        <w:trPr>
          <w:trHeight w:val="272"/>
        </w:trPr>
        <w:tc>
          <w:tcPr>
            <w:tcW w:w="5589" w:type="dxa"/>
            <w:tcBorders>
              <w:top w:val="nil"/>
              <w:bottom w:val="nil"/>
            </w:tcBorders>
          </w:tcPr>
          <w:p w:rsidR="002E36CE" w:rsidRPr="00440300" w:rsidRDefault="00A975B5">
            <w:pPr>
              <w:pStyle w:val="TableParagraph"/>
              <w:spacing w:before="11" w:line="242" w:lineRule="exact"/>
              <w:ind w:left="69"/>
            </w:pPr>
            <w:r>
              <w:t>Reversiones</w:t>
            </w:r>
          </w:p>
        </w:tc>
        <w:tc>
          <w:tcPr>
            <w:tcW w:w="1432" w:type="dxa"/>
            <w:tcBorders>
              <w:top w:val="nil"/>
              <w:bottom w:val="nil"/>
            </w:tcBorders>
          </w:tcPr>
          <w:p w:rsidR="002E36CE" w:rsidRPr="00440300" w:rsidRDefault="00A975B5">
            <w:pPr>
              <w:pStyle w:val="TableParagraph"/>
              <w:spacing w:before="11" w:line="242" w:lineRule="exact"/>
              <w:ind w:left="9"/>
              <w:jc w:val="center"/>
            </w:pPr>
            <w:r>
              <w:t>-</w:t>
            </w:r>
          </w:p>
        </w:tc>
      </w:tr>
      <w:tr w:rsidR="002E36CE" w:rsidRPr="00440300">
        <w:trPr>
          <w:trHeight w:val="273"/>
        </w:trPr>
        <w:tc>
          <w:tcPr>
            <w:tcW w:w="5589" w:type="dxa"/>
            <w:tcBorders>
              <w:top w:val="nil"/>
              <w:bottom w:val="nil"/>
            </w:tcBorders>
          </w:tcPr>
          <w:p w:rsidR="002E36CE" w:rsidRPr="00440300" w:rsidRDefault="00A975B5">
            <w:pPr>
              <w:pStyle w:val="TableParagraph"/>
              <w:spacing w:before="12" w:line="241" w:lineRule="exact"/>
              <w:ind w:left="69"/>
            </w:pPr>
            <w:r>
              <w:t>Traspasos y otros</w:t>
            </w:r>
          </w:p>
        </w:tc>
        <w:tc>
          <w:tcPr>
            <w:tcW w:w="1432" w:type="dxa"/>
            <w:tcBorders>
              <w:top w:val="nil"/>
            </w:tcBorders>
          </w:tcPr>
          <w:p w:rsidR="002E36CE" w:rsidRPr="00440300" w:rsidRDefault="00A975B5">
            <w:pPr>
              <w:pStyle w:val="TableParagraph"/>
              <w:spacing w:before="12" w:line="241" w:lineRule="exact"/>
              <w:ind w:left="9"/>
              <w:jc w:val="center"/>
            </w:pPr>
            <w:r>
              <w:t>-</w:t>
            </w:r>
          </w:p>
        </w:tc>
      </w:tr>
      <w:tr w:rsidR="002E36CE" w:rsidRPr="00440300">
        <w:trPr>
          <w:trHeight w:val="272"/>
        </w:trPr>
        <w:tc>
          <w:tcPr>
            <w:tcW w:w="5589" w:type="dxa"/>
            <w:tcBorders>
              <w:top w:val="nil"/>
            </w:tcBorders>
          </w:tcPr>
          <w:p w:rsidR="002E36CE" w:rsidRPr="00440300" w:rsidRDefault="00A975B5">
            <w:pPr>
              <w:pStyle w:val="TableParagraph"/>
              <w:spacing w:before="11" w:line="241" w:lineRule="exact"/>
              <w:ind w:left="69"/>
            </w:pPr>
            <w:r>
              <w:t>Saldos a 31 de diciembre de 2018</w:t>
            </w:r>
          </w:p>
        </w:tc>
        <w:tc>
          <w:tcPr>
            <w:tcW w:w="1432" w:type="dxa"/>
          </w:tcPr>
          <w:p w:rsidR="002E36CE" w:rsidRPr="00440300" w:rsidRDefault="00A975B5">
            <w:pPr>
              <w:pStyle w:val="TableParagraph"/>
              <w:spacing w:before="11" w:line="241" w:lineRule="exact"/>
              <w:ind w:left="49" w:right="38"/>
              <w:jc w:val="center"/>
            </w:pPr>
            <w:r>
              <w:t>1.385.882,25</w:t>
            </w:r>
          </w:p>
        </w:tc>
      </w:tr>
      <w:tr w:rsidR="002E36CE" w:rsidRPr="00440300">
        <w:trPr>
          <w:trHeight w:val="268"/>
        </w:trPr>
        <w:tc>
          <w:tcPr>
            <w:tcW w:w="7021" w:type="dxa"/>
            <w:gridSpan w:val="2"/>
            <w:tcBorders>
              <w:left w:val="nil"/>
              <w:right w:val="nil"/>
            </w:tcBorders>
          </w:tcPr>
          <w:p w:rsidR="002E36CE" w:rsidRPr="00440300" w:rsidRDefault="002E36CE">
            <w:pPr>
              <w:pStyle w:val="TableParagraph"/>
              <w:rPr>
                <w:rFonts w:ascii="Times New Roman"/>
                <w:sz w:val="18"/>
                <w:lang w:val="ca-ES"/>
              </w:rPr>
            </w:pPr>
          </w:p>
        </w:tc>
      </w:tr>
      <w:tr w:rsidR="002E36CE" w:rsidRPr="00440300">
        <w:trPr>
          <w:trHeight w:val="272"/>
        </w:trPr>
        <w:tc>
          <w:tcPr>
            <w:tcW w:w="5589" w:type="dxa"/>
          </w:tcPr>
          <w:p w:rsidR="002E36CE" w:rsidRPr="00440300" w:rsidRDefault="00A975B5">
            <w:pPr>
              <w:pStyle w:val="TableParagraph"/>
              <w:spacing w:before="11" w:line="241" w:lineRule="exact"/>
              <w:ind w:left="69"/>
            </w:pPr>
            <w:r>
              <w:t>Amortización acumulada</w:t>
            </w:r>
          </w:p>
        </w:tc>
        <w:tc>
          <w:tcPr>
            <w:tcW w:w="1432" w:type="dxa"/>
          </w:tcPr>
          <w:p w:rsidR="002E36CE" w:rsidRPr="00440300" w:rsidRDefault="00A975B5">
            <w:pPr>
              <w:pStyle w:val="TableParagraph"/>
              <w:spacing w:before="11" w:line="241" w:lineRule="exact"/>
              <w:ind w:left="49" w:right="38"/>
              <w:jc w:val="center"/>
            </w:pPr>
            <w:r>
              <w:t>Euros</w:t>
            </w:r>
          </w:p>
        </w:tc>
      </w:tr>
      <w:tr w:rsidR="002E36CE" w:rsidRPr="00440300">
        <w:trPr>
          <w:trHeight w:val="272"/>
        </w:trPr>
        <w:tc>
          <w:tcPr>
            <w:tcW w:w="5589" w:type="dxa"/>
          </w:tcPr>
          <w:p w:rsidR="002E36CE" w:rsidRPr="00440300" w:rsidRDefault="00A975B5">
            <w:pPr>
              <w:pStyle w:val="TableParagraph"/>
              <w:spacing w:before="11" w:line="241" w:lineRule="exact"/>
              <w:ind w:left="69"/>
            </w:pPr>
            <w:r>
              <w:t>Saldos a 31 de diciembre de 2017</w:t>
            </w:r>
          </w:p>
        </w:tc>
        <w:tc>
          <w:tcPr>
            <w:tcW w:w="1432" w:type="dxa"/>
          </w:tcPr>
          <w:p w:rsidR="002E36CE" w:rsidRPr="00440300" w:rsidRDefault="00A975B5">
            <w:pPr>
              <w:pStyle w:val="TableParagraph"/>
              <w:spacing w:before="11" w:line="241" w:lineRule="exact"/>
              <w:ind w:left="9"/>
              <w:jc w:val="center"/>
            </w:pPr>
            <w:r>
              <w:t>-</w:t>
            </w:r>
          </w:p>
        </w:tc>
      </w:tr>
      <w:tr w:rsidR="002E36CE" w:rsidRPr="00440300">
        <w:trPr>
          <w:trHeight w:val="273"/>
        </w:trPr>
        <w:tc>
          <w:tcPr>
            <w:tcW w:w="5589" w:type="dxa"/>
            <w:tcBorders>
              <w:bottom w:val="nil"/>
            </w:tcBorders>
          </w:tcPr>
          <w:p w:rsidR="002E36CE" w:rsidRPr="00440300" w:rsidRDefault="00A975B5">
            <w:pPr>
              <w:pStyle w:val="TableParagraph"/>
              <w:spacing w:before="11" w:line="242" w:lineRule="exact"/>
              <w:ind w:left="69"/>
            </w:pPr>
            <w:r>
              <w:t>Entradas</w:t>
            </w:r>
          </w:p>
        </w:tc>
        <w:tc>
          <w:tcPr>
            <w:tcW w:w="1432" w:type="dxa"/>
            <w:tcBorders>
              <w:bottom w:val="nil"/>
            </w:tcBorders>
          </w:tcPr>
          <w:p w:rsidR="002E36CE" w:rsidRPr="00440300" w:rsidRDefault="00A975B5">
            <w:pPr>
              <w:pStyle w:val="TableParagraph"/>
              <w:spacing w:before="11" w:line="242" w:lineRule="exact"/>
              <w:ind w:left="9"/>
              <w:jc w:val="center"/>
            </w:pPr>
            <w:r>
              <w:t>-</w:t>
            </w:r>
          </w:p>
        </w:tc>
      </w:tr>
      <w:tr w:rsidR="002E36CE" w:rsidRPr="00440300">
        <w:trPr>
          <w:trHeight w:val="272"/>
        </w:trPr>
        <w:tc>
          <w:tcPr>
            <w:tcW w:w="5589" w:type="dxa"/>
            <w:tcBorders>
              <w:top w:val="nil"/>
              <w:bottom w:val="nil"/>
            </w:tcBorders>
          </w:tcPr>
          <w:p w:rsidR="002E36CE" w:rsidRPr="00440300" w:rsidRDefault="00A975B5">
            <w:pPr>
              <w:pStyle w:val="TableParagraph"/>
              <w:spacing w:before="12" w:line="240" w:lineRule="exact"/>
              <w:ind w:left="69"/>
            </w:pPr>
            <w:r>
              <w:t>Reversiones</w:t>
            </w:r>
          </w:p>
        </w:tc>
        <w:tc>
          <w:tcPr>
            <w:tcW w:w="1432" w:type="dxa"/>
            <w:tcBorders>
              <w:top w:val="nil"/>
              <w:bottom w:val="nil"/>
            </w:tcBorders>
          </w:tcPr>
          <w:p w:rsidR="002E36CE" w:rsidRPr="00440300" w:rsidRDefault="00A975B5">
            <w:pPr>
              <w:pStyle w:val="TableParagraph"/>
              <w:spacing w:before="12" w:line="240" w:lineRule="exact"/>
              <w:ind w:left="9"/>
              <w:jc w:val="center"/>
            </w:pPr>
            <w:r>
              <w:t>-</w:t>
            </w:r>
          </w:p>
        </w:tc>
      </w:tr>
      <w:tr w:rsidR="002E36CE" w:rsidRPr="00440300">
        <w:trPr>
          <w:trHeight w:val="271"/>
        </w:trPr>
        <w:tc>
          <w:tcPr>
            <w:tcW w:w="5589" w:type="dxa"/>
            <w:tcBorders>
              <w:top w:val="nil"/>
              <w:bottom w:val="nil"/>
            </w:tcBorders>
          </w:tcPr>
          <w:p w:rsidR="002E36CE" w:rsidRPr="00440300" w:rsidRDefault="00A975B5">
            <w:pPr>
              <w:pStyle w:val="TableParagraph"/>
              <w:spacing w:before="11" w:line="241" w:lineRule="exact"/>
              <w:ind w:left="69"/>
            </w:pPr>
            <w:r>
              <w:t>Traspasos</w:t>
            </w:r>
          </w:p>
        </w:tc>
        <w:tc>
          <w:tcPr>
            <w:tcW w:w="1432" w:type="dxa"/>
            <w:tcBorders>
              <w:top w:val="nil"/>
            </w:tcBorders>
          </w:tcPr>
          <w:p w:rsidR="002E36CE" w:rsidRPr="00440300" w:rsidRDefault="00A975B5">
            <w:pPr>
              <w:pStyle w:val="TableParagraph"/>
              <w:spacing w:before="11" w:line="241" w:lineRule="exact"/>
              <w:ind w:left="9"/>
              <w:jc w:val="center"/>
            </w:pPr>
            <w:r>
              <w:t>-</w:t>
            </w:r>
          </w:p>
        </w:tc>
      </w:tr>
      <w:tr w:rsidR="002E36CE" w:rsidRPr="00440300">
        <w:trPr>
          <w:trHeight w:val="272"/>
        </w:trPr>
        <w:tc>
          <w:tcPr>
            <w:tcW w:w="5589" w:type="dxa"/>
            <w:tcBorders>
              <w:top w:val="nil"/>
            </w:tcBorders>
          </w:tcPr>
          <w:p w:rsidR="002E36CE" w:rsidRPr="00440300" w:rsidRDefault="00A975B5">
            <w:pPr>
              <w:pStyle w:val="TableParagraph"/>
              <w:spacing w:before="11" w:line="241" w:lineRule="exact"/>
              <w:ind w:left="69"/>
            </w:pPr>
            <w:r>
              <w:t>Saldos a 31 de diciembre de 2018</w:t>
            </w:r>
          </w:p>
        </w:tc>
        <w:tc>
          <w:tcPr>
            <w:tcW w:w="1432" w:type="dxa"/>
          </w:tcPr>
          <w:p w:rsidR="002E36CE" w:rsidRPr="00440300" w:rsidRDefault="00A975B5">
            <w:pPr>
              <w:pStyle w:val="TableParagraph"/>
              <w:spacing w:before="11" w:line="241" w:lineRule="exact"/>
              <w:ind w:left="9"/>
              <w:jc w:val="center"/>
            </w:pPr>
            <w:r>
              <w:t>-</w:t>
            </w:r>
          </w:p>
        </w:tc>
      </w:tr>
      <w:tr w:rsidR="002E36CE" w:rsidRPr="00440300">
        <w:trPr>
          <w:trHeight w:val="543"/>
        </w:trPr>
        <w:tc>
          <w:tcPr>
            <w:tcW w:w="7021" w:type="dxa"/>
            <w:gridSpan w:val="2"/>
            <w:tcBorders>
              <w:left w:val="nil"/>
              <w:right w:val="nil"/>
            </w:tcBorders>
          </w:tcPr>
          <w:p w:rsidR="002E36CE" w:rsidRPr="00440300" w:rsidRDefault="002E36CE">
            <w:pPr>
              <w:pStyle w:val="TableParagraph"/>
              <w:rPr>
                <w:rFonts w:ascii="Times New Roman"/>
                <w:lang w:val="ca-ES"/>
              </w:rPr>
            </w:pPr>
          </w:p>
        </w:tc>
      </w:tr>
      <w:tr w:rsidR="002E36CE" w:rsidRPr="00440300">
        <w:trPr>
          <w:trHeight w:val="272"/>
        </w:trPr>
        <w:tc>
          <w:tcPr>
            <w:tcW w:w="5589" w:type="dxa"/>
            <w:tcBorders>
              <w:bottom w:val="nil"/>
            </w:tcBorders>
          </w:tcPr>
          <w:p w:rsidR="002E36CE" w:rsidRPr="00440300" w:rsidRDefault="00A975B5">
            <w:pPr>
              <w:pStyle w:val="TableParagraph"/>
              <w:spacing w:before="11" w:line="241" w:lineRule="exact"/>
              <w:ind w:left="69"/>
            </w:pPr>
            <w:r>
              <w:t>TERRENOS Y CONSTRUCCIONES TOTAL NETO</w:t>
            </w:r>
          </w:p>
        </w:tc>
        <w:tc>
          <w:tcPr>
            <w:tcW w:w="1432" w:type="dxa"/>
          </w:tcPr>
          <w:p w:rsidR="002E36CE" w:rsidRPr="00440300" w:rsidRDefault="00A975B5">
            <w:pPr>
              <w:pStyle w:val="TableParagraph"/>
              <w:spacing w:before="11" w:line="241" w:lineRule="exact"/>
              <w:ind w:left="49" w:right="38"/>
              <w:jc w:val="center"/>
            </w:pPr>
            <w:r>
              <w:t>Euros</w:t>
            </w:r>
          </w:p>
        </w:tc>
      </w:tr>
      <w:tr w:rsidR="002E36CE" w:rsidRPr="00440300">
        <w:trPr>
          <w:trHeight w:val="275"/>
        </w:trPr>
        <w:tc>
          <w:tcPr>
            <w:tcW w:w="5589" w:type="dxa"/>
            <w:tcBorders>
              <w:top w:val="nil"/>
            </w:tcBorders>
          </w:tcPr>
          <w:p w:rsidR="002E36CE" w:rsidRPr="00440300" w:rsidRDefault="00A975B5">
            <w:pPr>
              <w:pStyle w:val="TableParagraph"/>
              <w:spacing w:before="11" w:line="244" w:lineRule="exact"/>
              <w:ind w:left="194"/>
            </w:pPr>
            <w:r>
              <w:t>Saldos a 31 de diciembre de 2018</w:t>
            </w:r>
          </w:p>
        </w:tc>
        <w:tc>
          <w:tcPr>
            <w:tcW w:w="1432" w:type="dxa"/>
          </w:tcPr>
          <w:p w:rsidR="002E36CE" w:rsidRPr="00440300" w:rsidRDefault="00A975B5">
            <w:pPr>
              <w:pStyle w:val="TableParagraph"/>
              <w:spacing w:before="11" w:line="244" w:lineRule="exact"/>
              <w:ind w:left="49" w:right="38"/>
              <w:jc w:val="center"/>
            </w:pPr>
            <w:r>
              <w:t>1.385.882,25</w:t>
            </w:r>
          </w:p>
        </w:tc>
      </w:tr>
    </w:tbl>
    <w:p w:rsidR="002E36CE" w:rsidRPr="00440300" w:rsidRDefault="002E36CE">
      <w:pPr>
        <w:pStyle w:val="Textoindependiente"/>
        <w:rPr>
          <w:sz w:val="20"/>
          <w:lang w:val="ca-ES"/>
        </w:rPr>
      </w:pPr>
    </w:p>
    <w:p w:rsidR="002E36CE" w:rsidRPr="00440300" w:rsidRDefault="002E36CE">
      <w:pPr>
        <w:pStyle w:val="Textoindependiente"/>
        <w:rPr>
          <w:sz w:val="20"/>
          <w:lang w:val="ca-ES"/>
        </w:rPr>
      </w:pPr>
    </w:p>
    <w:p w:rsidR="002E36CE" w:rsidRPr="00440300" w:rsidRDefault="002E36CE">
      <w:pPr>
        <w:pStyle w:val="Textoindependiente"/>
        <w:rPr>
          <w:sz w:val="20"/>
          <w:lang w:val="ca-ES"/>
        </w:rPr>
      </w:pPr>
    </w:p>
    <w:p w:rsidR="002E36CE" w:rsidRPr="00440300" w:rsidRDefault="002E36CE">
      <w:pPr>
        <w:pStyle w:val="Textoindependiente"/>
        <w:spacing w:before="6"/>
        <w:rPr>
          <w:sz w:val="10"/>
          <w:lang w:val="ca-ES"/>
        </w:r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69"/>
        <w:gridCol w:w="1513"/>
      </w:tblGrid>
      <w:tr w:rsidR="002E36CE" w:rsidRPr="00440300">
        <w:trPr>
          <w:trHeight w:val="551"/>
        </w:trPr>
        <w:tc>
          <w:tcPr>
            <w:tcW w:w="5569" w:type="dxa"/>
          </w:tcPr>
          <w:p w:rsidR="002E36CE" w:rsidRPr="00440300" w:rsidRDefault="00A975B5">
            <w:pPr>
              <w:pStyle w:val="TableParagraph"/>
              <w:spacing w:before="11"/>
              <w:ind w:left="69"/>
            </w:pPr>
            <w:r>
              <w:t>INMOVILIZADOS MATERIALES EN CURSO Y</w:t>
            </w:r>
          </w:p>
          <w:p w:rsidR="002E36CE" w:rsidRPr="00440300" w:rsidRDefault="00A975B5">
            <w:pPr>
              <w:pStyle w:val="TableParagraph"/>
              <w:spacing w:before="22" w:line="241" w:lineRule="exact"/>
              <w:ind w:left="69"/>
            </w:pPr>
            <w:r>
              <w:t>ANTICIPOS</w:t>
            </w:r>
          </w:p>
        </w:tc>
        <w:tc>
          <w:tcPr>
            <w:tcW w:w="1513" w:type="dxa"/>
          </w:tcPr>
          <w:p w:rsidR="002E36CE" w:rsidRPr="00440300" w:rsidRDefault="002E36CE">
            <w:pPr>
              <w:pStyle w:val="TableParagraph"/>
              <w:spacing w:before="9"/>
              <w:rPr>
                <w:sz w:val="24"/>
                <w:lang w:val="ca-ES"/>
              </w:rPr>
            </w:pPr>
          </w:p>
          <w:p w:rsidR="002E36CE" w:rsidRPr="00440300" w:rsidRDefault="00A975B5">
            <w:pPr>
              <w:pStyle w:val="TableParagraph"/>
              <w:spacing w:before="1" w:line="241" w:lineRule="exact"/>
              <w:ind w:left="85" w:right="77"/>
              <w:jc w:val="center"/>
            </w:pPr>
            <w:r>
              <w:t>Euros</w:t>
            </w:r>
          </w:p>
        </w:tc>
      </w:tr>
      <w:tr w:rsidR="002E36CE" w:rsidRPr="00440300">
        <w:trPr>
          <w:trHeight w:val="272"/>
        </w:trPr>
        <w:tc>
          <w:tcPr>
            <w:tcW w:w="5569" w:type="dxa"/>
          </w:tcPr>
          <w:p w:rsidR="002E36CE" w:rsidRPr="00440300" w:rsidRDefault="00A975B5">
            <w:pPr>
              <w:pStyle w:val="TableParagraph"/>
              <w:spacing w:before="11" w:line="241" w:lineRule="exact"/>
              <w:ind w:left="69"/>
            </w:pPr>
            <w:r>
              <w:t>Saldos a 31 de diciembre de 2017</w:t>
            </w:r>
          </w:p>
        </w:tc>
        <w:tc>
          <w:tcPr>
            <w:tcW w:w="1513" w:type="dxa"/>
          </w:tcPr>
          <w:p w:rsidR="002E36CE" w:rsidRPr="00440300" w:rsidRDefault="00A975B5">
            <w:pPr>
              <w:pStyle w:val="TableParagraph"/>
              <w:spacing w:before="11" w:line="241" w:lineRule="exact"/>
              <w:ind w:left="90" w:right="77"/>
              <w:jc w:val="center"/>
            </w:pPr>
            <w:r>
              <w:t>1.269.403,36</w:t>
            </w:r>
          </w:p>
        </w:tc>
      </w:tr>
      <w:tr w:rsidR="002E36CE" w:rsidRPr="00440300">
        <w:trPr>
          <w:trHeight w:val="270"/>
        </w:trPr>
        <w:tc>
          <w:tcPr>
            <w:tcW w:w="5569" w:type="dxa"/>
            <w:tcBorders>
              <w:bottom w:val="nil"/>
            </w:tcBorders>
          </w:tcPr>
          <w:p w:rsidR="002E36CE" w:rsidRPr="00440300" w:rsidRDefault="00A975B5">
            <w:pPr>
              <w:pStyle w:val="TableParagraph"/>
              <w:spacing w:before="9" w:line="242" w:lineRule="exact"/>
              <w:ind w:left="69"/>
            </w:pPr>
            <w:r>
              <w:t>Entradas</w:t>
            </w:r>
          </w:p>
        </w:tc>
        <w:tc>
          <w:tcPr>
            <w:tcW w:w="1513" w:type="dxa"/>
            <w:tcBorders>
              <w:bottom w:val="nil"/>
            </w:tcBorders>
          </w:tcPr>
          <w:p w:rsidR="002E36CE" w:rsidRPr="00440300" w:rsidRDefault="00A975B5">
            <w:pPr>
              <w:pStyle w:val="TableParagraph"/>
              <w:spacing w:before="9" w:line="242" w:lineRule="exact"/>
              <w:ind w:left="90" w:right="77"/>
              <w:jc w:val="center"/>
            </w:pPr>
            <w:r>
              <w:t>574.846,67</w:t>
            </w:r>
          </w:p>
        </w:tc>
      </w:tr>
      <w:tr w:rsidR="002E36CE" w:rsidRPr="00440300">
        <w:trPr>
          <w:trHeight w:val="273"/>
        </w:trPr>
        <w:tc>
          <w:tcPr>
            <w:tcW w:w="5569" w:type="dxa"/>
            <w:tcBorders>
              <w:top w:val="nil"/>
              <w:bottom w:val="nil"/>
            </w:tcBorders>
          </w:tcPr>
          <w:p w:rsidR="002E36CE" w:rsidRPr="00440300" w:rsidRDefault="00A975B5">
            <w:pPr>
              <w:pStyle w:val="TableParagraph"/>
              <w:spacing w:before="12" w:line="242" w:lineRule="exact"/>
              <w:ind w:left="69"/>
            </w:pPr>
            <w:r>
              <w:t>Reversiones</w:t>
            </w:r>
          </w:p>
        </w:tc>
        <w:tc>
          <w:tcPr>
            <w:tcW w:w="1513" w:type="dxa"/>
            <w:tcBorders>
              <w:top w:val="nil"/>
              <w:bottom w:val="nil"/>
            </w:tcBorders>
          </w:tcPr>
          <w:p w:rsidR="002E36CE" w:rsidRPr="00440300" w:rsidRDefault="00A975B5">
            <w:pPr>
              <w:pStyle w:val="TableParagraph"/>
              <w:spacing w:before="12" w:line="242" w:lineRule="exact"/>
              <w:ind w:left="11"/>
              <w:jc w:val="center"/>
            </w:pPr>
            <w:r>
              <w:t>-</w:t>
            </w:r>
          </w:p>
        </w:tc>
      </w:tr>
      <w:tr w:rsidR="002E36CE" w:rsidRPr="00440300">
        <w:trPr>
          <w:trHeight w:val="273"/>
        </w:trPr>
        <w:tc>
          <w:tcPr>
            <w:tcW w:w="5569" w:type="dxa"/>
            <w:tcBorders>
              <w:top w:val="nil"/>
              <w:bottom w:val="nil"/>
            </w:tcBorders>
          </w:tcPr>
          <w:p w:rsidR="002E36CE" w:rsidRPr="00440300" w:rsidRDefault="00A975B5">
            <w:pPr>
              <w:pStyle w:val="TableParagraph"/>
              <w:spacing w:before="12" w:line="241" w:lineRule="exact"/>
              <w:ind w:left="69"/>
            </w:pPr>
            <w:r>
              <w:t>Traspasos y otros</w:t>
            </w:r>
          </w:p>
        </w:tc>
        <w:tc>
          <w:tcPr>
            <w:tcW w:w="1513" w:type="dxa"/>
            <w:tcBorders>
              <w:top w:val="nil"/>
            </w:tcBorders>
          </w:tcPr>
          <w:p w:rsidR="002E36CE" w:rsidRPr="00440300" w:rsidRDefault="00A975B5">
            <w:pPr>
              <w:pStyle w:val="TableParagraph"/>
              <w:spacing w:before="12" w:line="241" w:lineRule="exact"/>
              <w:ind w:left="11"/>
              <w:jc w:val="center"/>
            </w:pPr>
            <w:r>
              <w:t>-</w:t>
            </w:r>
          </w:p>
        </w:tc>
      </w:tr>
      <w:tr w:rsidR="002E36CE" w:rsidRPr="00440300">
        <w:trPr>
          <w:trHeight w:val="270"/>
        </w:trPr>
        <w:tc>
          <w:tcPr>
            <w:tcW w:w="5569" w:type="dxa"/>
            <w:tcBorders>
              <w:top w:val="nil"/>
            </w:tcBorders>
          </w:tcPr>
          <w:p w:rsidR="002E36CE" w:rsidRPr="00440300" w:rsidRDefault="00A975B5">
            <w:pPr>
              <w:pStyle w:val="TableParagraph"/>
              <w:spacing w:before="9" w:line="241" w:lineRule="exact"/>
              <w:ind w:left="69"/>
            </w:pPr>
            <w:r>
              <w:t>Saldos a 31 de diciembre de 2018</w:t>
            </w:r>
          </w:p>
        </w:tc>
        <w:tc>
          <w:tcPr>
            <w:tcW w:w="1513" w:type="dxa"/>
          </w:tcPr>
          <w:p w:rsidR="002E36CE" w:rsidRPr="00440300" w:rsidRDefault="00A975B5">
            <w:pPr>
              <w:pStyle w:val="TableParagraph"/>
              <w:spacing w:before="9" w:line="241" w:lineRule="exact"/>
              <w:ind w:left="90" w:right="77"/>
              <w:jc w:val="center"/>
            </w:pPr>
            <w:r>
              <w:t>1.844.250,03</w:t>
            </w:r>
          </w:p>
        </w:tc>
      </w:tr>
      <w:tr w:rsidR="002E36CE" w:rsidRPr="00440300">
        <w:trPr>
          <w:trHeight w:val="272"/>
        </w:trPr>
        <w:tc>
          <w:tcPr>
            <w:tcW w:w="7082" w:type="dxa"/>
            <w:gridSpan w:val="2"/>
            <w:tcBorders>
              <w:left w:val="nil"/>
              <w:right w:val="nil"/>
            </w:tcBorders>
          </w:tcPr>
          <w:p w:rsidR="002E36CE" w:rsidRPr="00440300" w:rsidRDefault="002E36CE">
            <w:pPr>
              <w:pStyle w:val="TableParagraph"/>
              <w:rPr>
                <w:rFonts w:ascii="Times New Roman"/>
                <w:sz w:val="20"/>
                <w:lang w:val="ca-ES"/>
              </w:rPr>
            </w:pPr>
          </w:p>
        </w:tc>
      </w:tr>
      <w:tr w:rsidR="002E36CE" w:rsidRPr="00440300">
        <w:trPr>
          <w:trHeight w:val="817"/>
        </w:trPr>
        <w:tc>
          <w:tcPr>
            <w:tcW w:w="5569" w:type="dxa"/>
            <w:tcBorders>
              <w:bottom w:val="nil"/>
            </w:tcBorders>
          </w:tcPr>
          <w:p w:rsidR="002E36CE" w:rsidRPr="00440300" w:rsidRDefault="00A975B5">
            <w:pPr>
              <w:pStyle w:val="TableParagraph"/>
              <w:spacing w:before="11" w:line="259" w:lineRule="auto"/>
              <w:ind w:left="69" w:right="97"/>
            </w:pPr>
            <w:r>
              <w:t>INMOVILIZADOS MATERIALES EN CURSO Y ANTICIPOS</w:t>
            </w:r>
          </w:p>
          <w:p w:rsidR="002E36CE" w:rsidRPr="00440300" w:rsidRDefault="00A975B5">
            <w:pPr>
              <w:pStyle w:val="TableParagraph"/>
              <w:spacing w:line="240" w:lineRule="exact"/>
              <w:ind w:left="69"/>
            </w:pPr>
            <w:r>
              <w:t>TOTAL NETO</w:t>
            </w:r>
          </w:p>
        </w:tc>
        <w:tc>
          <w:tcPr>
            <w:tcW w:w="1513" w:type="dxa"/>
          </w:tcPr>
          <w:p w:rsidR="002E36CE" w:rsidRPr="00440300" w:rsidRDefault="002E36CE">
            <w:pPr>
              <w:pStyle w:val="TableParagraph"/>
              <w:rPr>
                <w:sz w:val="26"/>
                <w:lang w:val="ca-ES"/>
              </w:rPr>
            </w:pPr>
          </w:p>
          <w:p w:rsidR="002E36CE" w:rsidRPr="00440300" w:rsidRDefault="002E36CE">
            <w:pPr>
              <w:pStyle w:val="TableParagraph"/>
              <w:spacing w:before="4"/>
              <w:rPr>
                <w:lang w:val="ca-ES"/>
              </w:rPr>
            </w:pPr>
          </w:p>
          <w:p w:rsidR="002E36CE" w:rsidRPr="00440300" w:rsidRDefault="00A975B5">
            <w:pPr>
              <w:pStyle w:val="TableParagraph"/>
              <w:spacing w:line="241" w:lineRule="exact"/>
              <w:ind w:left="85" w:right="77"/>
              <w:jc w:val="center"/>
            </w:pPr>
            <w:r>
              <w:t>Euros</w:t>
            </w:r>
          </w:p>
        </w:tc>
      </w:tr>
      <w:tr w:rsidR="002E36CE" w:rsidRPr="00440300">
        <w:trPr>
          <w:trHeight w:val="275"/>
        </w:trPr>
        <w:tc>
          <w:tcPr>
            <w:tcW w:w="5569" w:type="dxa"/>
            <w:tcBorders>
              <w:top w:val="nil"/>
            </w:tcBorders>
          </w:tcPr>
          <w:p w:rsidR="002E36CE" w:rsidRPr="00440300" w:rsidRDefault="00A975B5">
            <w:pPr>
              <w:pStyle w:val="TableParagraph"/>
              <w:spacing w:before="11" w:line="244" w:lineRule="exact"/>
              <w:ind w:left="194"/>
            </w:pPr>
            <w:r>
              <w:t>Saldos a 31 de diciembre de 2018</w:t>
            </w:r>
          </w:p>
        </w:tc>
        <w:tc>
          <w:tcPr>
            <w:tcW w:w="1513" w:type="dxa"/>
          </w:tcPr>
          <w:p w:rsidR="002E36CE" w:rsidRPr="00440300" w:rsidRDefault="00A975B5">
            <w:pPr>
              <w:pStyle w:val="TableParagraph"/>
              <w:spacing w:before="11" w:line="244" w:lineRule="exact"/>
              <w:ind w:left="90" w:right="76"/>
              <w:jc w:val="center"/>
            </w:pPr>
            <w:r>
              <w:t>1.884.250,03</w:t>
            </w:r>
          </w:p>
        </w:tc>
      </w:tr>
    </w:tbl>
    <w:p w:rsidR="002E36CE" w:rsidRPr="00440300" w:rsidRDefault="002E36CE">
      <w:pPr>
        <w:spacing w:line="244" w:lineRule="exact"/>
        <w:jc w:val="center"/>
        <w:rPr>
          <w:lang w:val="ca-ES"/>
        </w:rPr>
        <w:sectPr w:rsidR="002E36CE" w:rsidRPr="00440300">
          <w:pgSz w:w="12240" w:h="15840"/>
          <w:pgMar w:top="1200" w:right="720" w:bottom="280" w:left="1580" w:header="720" w:footer="720" w:gutter="0"/>
          <w:cols w:space="720"/>
        </w:sectPr>
      </w:pPr>
    </w:p>
    <w:p w:rsidR="002E36CE" w:rsidRPr="00440300" w:rsidRDefault="002E36CE">
      <w:pPr>
        <w:pStyle w:val="Textoindependiente"/>
        <w:spacing w:before="6"/>
        <w:rPr>
          <w:sz w:val="27"/>
          <w:lang w:val="ca-ES"/>
        </w:rPr>
      </w:pPr>
    </w:p>
    <w:tbl>
      <w:tblPr>
        <w:tblStyle w:val="TableNormal"/>
        <w:tblW w:w="0" w:type="auto"/>
        <w:tblInd w:w="5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70"/>
        <w:gridCol w:w="1598"/>
      </w:tblGrid>
      <w:tr w:rsidR="002E36CE" w:rsidRPr="00440300">
        <w:trPr>
          <w:trHeight w:val="277"/>
        </w:trPr>
        <w:tc>
          <w:tcPr>
            <w:tcW w:w="5570" w:type="dxa"/>
          </w:tcPr>
          <w:p w:rsidR="002E36CE" w:rsidRPr="00440300" w:rsidRDefault="00A975B5">
            <w:pPr>
              <w:pStyle w:val="TableParagraph"/>
              <w:spacing w:before="11" w:line="241" w:lineRule="exact"/>
              <w:ind w:left="69"/>
            </w:pPr>
            <w:r>
              <w:t>TOTAL INMOVILIZADO MATERIAL</w:t>
            </w:r>
          </w:p>
        </w:tc>
        <w:tc>
          <w:tcPr>
            <w:tcW w:w="1598" w:type="dxa"/>
          </w:tcPr>
          <w:p w:rsidR="002E36CE" w:rsidRPr="00440300" w:rsidRDefault="00A975B5">
            <w:pPr>
              <w:pStyle w:val="TableParagraph"/>
              <w:spacing w:before="11" w:line="241" w:lineRule="exact"/>
              <w:ind w:left="127" w:right="120"/>
              <w:jc w:val="center"/>
            </w:pPr>
            <w:r>
              <w:t>Euros</w:t>
            </w:r>
          </w:p>
        </w:tc>
      </w:tr>
      <w:tr w:rsidR="002E36CE" w:rsidRPr="00440300">
        <w:trPr>
          <w:trHeight w:val="272"/>
        </w:trPr>
        <w:tc>
          <w:tcPr>
            <w:tcW w:w="5570" w:type="dxa"/>
          </w:tcPr>
          <w:p w:rsidR="002E36CE" w:rsidRPr="00440300" w:rsidRDefault="00A975B5">
            <w:pPr>
              <w:pStyle w:val="TableParagraph"/>
              <w:spacing w:before="11" w:line="241" w:lineRule="exact"/>
              <w:ind w:left="69"/>
            </w:pPr>
            <w:r>
              <w:t>Saldos a 31 de diciembre de 2017</w:t>
            </w:r>
          </w:p>
        </w:tc>
        <w:tc>
          <w:tcPr>
            <w:tcW w:w="1598" w:type="dxa"/>
          </w:tcPr>
          <w:p w:rsidR="002E36CE" w:rsidRPr="00440300" w:rsidRDefault="00A975B5">
            <w:pPr>
              <w:pStyle w:val="TableParagraph"/>
              <w:spacing w:before="11" w:line="241" w:lineRule="exact"/>
              <w:ind w:left="133" w:right="120"/>
              <w:jc w:val="center"/>
            </w:pPr>
            <w:r>
              <w:t>2.655.285,61</w:t>
            </w:r>
          </w:p>
        </w:tc>
      </w:tr>
      <w:tr w:rsidR="002E36CE" w:rsidRPr="00440300">
        <w:trPr>
          <w:trHeight w:val="270"/>
        </w:trPr>
        <w:tc>
          <w:tcPr>
            <w:tcW w:w="5570" w:type="dxa"/>
            <w:tcBorders>
              <w:bottom w:val="nil"/>
            </w:tcBorders>
          </w:tcPr>
          <w:p w:rsidR="002E36CE" w:rsidRPr="00440300" w:rsidRDefault="00A975B5">
            <w:pPr>
              <w:pStyle w:val="TableParagraph"/>
              <w:spacing w:before="9" w:line="242" w:lineRule="exact"/>
              <w:ind w:left="69"/>
            </w:pPr>
            <w:r>
              <w:t>Entradas</w:t>
            </w:r>
          </w:p>
        </w:tc>
        <w:tc>
          <w:tcPr>
            <w:tcW w:w="1598" w:type="dxa"/>
            <w:tcBorders>
              <w:bottom w:val="nil"/>
            </w:tcBorders>
          </w:tcPr>
          <w:p w:rsidR="002E36CE" w:rsidRPr="00440300" w:rsidRDefault="00A975B5">
            <w:pPr>
              <w:pStyle w:val="TableParagraph"/>
              <w:spacing w:before="9" w:line="242" w:lineRule="exact"/>
              <w:ind w:left="132" w:right="120"/>
              <w:jc w:val="center"/>
            </w:pPr>
            <w:r>
              <w:t>574.846,67</w:t>
            </w:r>
          </w:p>
        </w:tc>
      </w:tr>
      <w:tr w:rsidR="002E36CE" w:rsidRPr="00440300">
        <w:trPr>
          <w:trHeight w:val="273"/>
        </w:trPr>
        <w:tc>
          <w:tcPr>
            <w:tcW w:w="5570" w:type="dxa"/>
            <w:tcBorders>
              <w:top w:val="nil"/>
              <w:bottom w:val="nil"/>
            </w:tcBorders>
          </w:tcPr>
          <w:p w:rsidR="002E36CE" w:rsidRPr="00440300" w:rsidRDefault="00A975B5">
            <w:pPr>
              <w:pStyle w:val="TableParagraph"/>
              <w:spacing w:before="12" w:line="242" w:lineRule="exact"/>
              <w:ind w:left="69"/>
            </w:pPr>
            <w:r>
              <w:t>Reversiones</w:t>
            </w:r>
          </w:p>
        </w:tc>
        <w:tc>
          <w:tcPr>
            <w:tcW w:w="1598" w:type="dxa"/>
            <w:tcBorders>
              <w:top w:val="nil"/>
              <w:bottom w:val="nil"/>
            </w:tcBorders>
          </w:tcPr>
          <w:p w:rsidR="002E36CE" w:rsidRPr="00440300" w:rsidRDefault="00A975B5">
            <w:pPr>
              <w:pStyle w:val="TableParagraph"/>
              <w:spacing w:before="12" w:line="242" w:lineRule="exact"/>
              <w:ind w:left="10"/>
              <w:jc w:val="center"/>
            </w:pPr>
            <w:r>
              <w:t>-</w:t>
            </w:r>
          </w:p>
        </w:tc>
      </w:tr>
      <w:tr w:rsidR="002E36CE" w:rsidRPr="00440300">
        <w:trPr>
          <w:trHeight w:val="273"/>
        </w:trPr>
        <w:tc>
          <w:tcPr>
            <w:tcW w:w="5570" w:type="dxa"/>
            <w:tcBorders>
              <w:top w:val="nil"/>
              <w:bottom w:val="nil"/>
            </w:tcBorders>
          </w:tcPr>
          <w:p w:rsidR="002E36CE" w:rsidRPr="00440300" w:rsidRDefault="00A975B5">
            <w:pPr>
              <w:pStyle w:val="TableParagraph"/>
              <w:spacing w:before="12" w:line="241" w:lineRule="exact"/>
              <w:ind w:left="69"/>
            </w:pPr>
            <w:r>
              <w:t>Traspasos y otros</w:t>
            </w:r>
          </w:p>
        </w:tc>
        <w:tc>
          <w:tcPr>
            <w:tcW w:w="1598" w:type="dxa"/>
            <w:tcBorders>
              <w:top w:val="nil"/>
            </w:tcBorders>
          </w:tcPr>
          <w:p w:rsidR="002E36CE" w:rsidRPr="00440300" w:rsidRDefault="00A975B5">
            <w:pPr>
              <w:pStyle w:val="TableParagraph"/>
              <w:spacing w:before="12" w:line="241" w:lineRule="exact"/>
              <w:ind w:left="10"/>
              <w:jc w:val="center"/>
            </w:pPr>
            <w:r>
              <w:t>-</w:t>
            </w:r>
          </w:p>
        </w:tc>
      </w:tr>
      <w:tr w:rsidR="002E36CE" w:rsidRPr="00440300">
        <w:trPr>
          <w:trHeight w:val="270"/>
        </w:trPr>
        <w:tc>
          <w:tcPr>
            <w:tcW w:w="5570" w:type="dxa"/>
            <w:tcBorders>
              <w:top w:val="nil"/>
            </w:tcBorders>
          </w:tcPr>
          <w:p w:rsidR="002E36CE" w:rsidRPr="00440300" w:rsidRDefault="00A975B5">
            <w:pPr>
              <w:pStyle w:val="TableParagraph"/>
              <w:spacing w:before="9" w:line="241" w:lineRule="exact"/>
              <w:ind w:left="69"/>
            </w:pPr>
            <w:r>
              <w:t>Saldos a 31 de diciembre de 2018</w:t>
            </w:r>
          </w:p>
        </w:tc>
        <w:tc>
          <w:tcPr>
            <w:tcW w:w="1598" w:type="dxa"/>
          </w:tcPr>
          <w:p w:rsidR="002E36CE" w:rsidRPr="00440300" w:rsidRDefault="00A975B5">
            <w:pPr>
              <w:pStyle w:val="TableParagraph"/>
              <w:spacing w:before="9" w:line="241" w:lineRule="exact"/>
              <w:ind w:left="133" w:right="120"/>
              <w:jc w:val="center"/>
            </w:pPr>
            <w:r>
              <w:t>3.230.132,28</w:t>
            </w:r>
          </w:p>
        </w:tc>
      </w:tr>
      <w:tr w:rsidR="002E36CE" w:rsidRPr="00440300">
        <w:trPr>
          <w:trHeight w:val="272"/>
        </w:trPr>
        <w:tc>
          <w:tcPr>
            <w:tcW w:w="7168" w:type="dxa"/>
            <w:gridSpan w:val="2"/>
            <w:tcBorders>
              <w:left w:val="nil"/>
              <w:right w:val="nil"/>
            </w:tcBorders>
          </w:tcPr>
          <w:p w:rsidR="002E36CE" w:rsidRPr="00440300" w:rsidRDefault="002E36CE">
            <w:pPr>
              <w:pStyle w:val="TableParagraph"/>
              <w:rPr>
                <w:rFonts w:ascii="Times New Roman"/>
                <w:sz w:val="20"/>
                <w:lang w:val="ca-ES"/>
              </w:rPr>
            </w:pPr>
          </w:p>
        </w:tc>
      </w:tr>
      <w:tr w:rsidR="002E36CE" w:rsidRPr="00440300">
        <w:trPr>
          <w:trHeight w:val="272"/>
        </w:trPr>
        <w:tc>
          <w:tcPr>
            <w:tcW w:w="5570" w:type="dxa"/>
          </w:tcPr>
          <w:p w:rsidR="002E36CE" w:rsidRPr="00440300" w:rsidRDefault="00A975B5">
            <w:pPr>
              <w:pStyle w:val="TableParagraph"/>
              <w:spacing w:before="11" w:line="241" w:lineRule="exact"/>
              <w:ind w:left="69"/>
            </w:pPr>
            <w:r>
              <w:t>Amortización acumulada</w:t>
            </w:r>
          </w:p>
        </w:tc>
        <w:tc>
          <w:tcPr>
            <w:tcW w:w="1598" w:type="dxa"/>
          </w:tcPr>
          <w:p w:rsidR="002E36CE" w:rsidRPr="00440300" w:rsidRDefault="00A975B5">
            <w:pPr>
              <w:pStyle w:val="TableParagraph"/>
              <w:spacing w:before="11" w:line="241" w:lineRule="exact"/>
              <w:ind w:left="127" w:right="120"/>
              <w:jc w:val="center"/>
            </w:pPr>
            <w:r>
              <w:t>Euros</w:t>
            </w:r>
          </w:p>
        </w:tc>
      </w:tr>
      <w:tr w:rsidR="002E36CE" w:rsidRPr="00440300">
        <w:trPr>
          <w:trHeight w:val="272"/>
        </w:trPr>
        <w:tc>
          <w:tcPr>
            <w:tcW w:w="5570" w:type="dxa"/>
          </w:tcPr>
          <w:p w:rsidR="002E36CE" w:rsidRPr="00440300" w:rsidRDefault="00A975B5">
            <w:pPr>
              <w:pStyle w:val="TableParagraph"/>
              <w:spacing w:before="11" w:line="241" w:lineRule="exact"/>
              <w:ind w:left="69"/>
            </w:pPr>
            <w:r>
              <w:t>Saldos a 31 de diciembre de 2017</w:t>
            </w:r>
          </w:p>
        </w:tc>
        <w:tc>
          <w:tcPr>
            <w:tcW w:w="1598" w:type="dxa"/>
          </w:tcPr>
          <w:p w:rsidR="002E36CE" w:rsidRPr="00440300" w:rsidRDefault="00A975B5">
            <w:pPr>
              <w:pStyle w:val="TableParagraph"/>
              <w:spacing w:before="11" w:line="241" w:lineRule="exact"/>
              <w:ind w:left="10"/>
              <w:jc w:val="center"/>
            </w:pPr>
            <w:r>
              <w:t>-</w:t>
            </w:r>
          </w:p>
        </w:tc>
      </w:tr>
      <w:tr w:rsidR="002E36CE" w:rsidRPr="00440300">
        <w:trPr>
          <w:trHeight w:val="273"/>
        </w:trPr>
        <w:tc>
          <w:tcPr>
            <w:tcW w:w="5570" w:type="dxa"/>
            <w:tcBorders>
              <w:bottom w:val="nil"/>
            </w:tcBorders>
          </w:tcPr>
          <w:p w:rsidR="002E36CE" w:rsidRPr="00440300" w:rsidRDefault="00A975B5">
            <w:pPr>
              <w:pStyle w:val="TableParagraph"/>
              <w:spacing w:before="11" w:line="242" w:lineRule="exact"/>
              <w:ind w:left="69"/>
            </w:pPr>
            <w:r>
              <w:t>Entradas</w:t>
            </w:r>
          </w:p>
        </w:tc>
        <w:tc>
          <w:tcPr>
            <w:tcW w:w="1598" w:type="dxa"/>
            <w:tcBorders>
              <w:bottom w:val="nil"/>
            </w:tcBorders>
          </w:tcPr>
          <w:p w:rsidR="002E36CE" w:rsidRPr="00440300" w:rsidRDefault="00A975B5">
            <w:pPr>
              <w:pStyle w:val="TableParagraph"/>
              <w:spacing w:before="11" w:line="242" w:lineRule="exact"/>
              <w:ind w:left="10"/>
              <w:jc w:val="center"/>
            </w:pPr>
            <w:r>
              <w:t>-</w:t>
            </w:r>
          </w:p>
        </w:tc>
      </w:tr>
      <w:tr w:rsidR="002E36CE" w:rsidRPr="00440300">
        <w:trPr>
          <w:trHeight w:val="272"/>
        </w:trPr>
        <w:tc>
          <w:tcPr>
            <w:tcW w:w="5570" w:type="dxa"/>
            <w:tcBorders>
              <w:top w:val="nil"/>
              <w:bottom w:val="nil"/>
            </w:tcBorders>
          </w:tcPr>
          <w:p w:rsidR="002E36CE" w:rsidRPr="00440300" w:rsidRDefault="00A975B5">
            <w:pPr>
              <w:pStyle w:val="TableParagraph"/>
              <w:spacing w:before="12" w:line="240" w:lineRule="exact"/>
              <w:ind w:left="69"/>
            </w:pPr>
            <w:r>
              <w:t>Reversiones</w:t>
            </w:r>
          </w:p>
        </w:tc>
        <w:tc>
          <w:tcPr>
            <w:tcW w:w="1598" w:type="dxa"/>
            <w:tcBorders>
              <w:top w:val="nil"/>
              <w:bottom w:val="nil"/>
            </w:tcBorders>
          </w:tcPr>
          <w:p w:rsidR="002E36CE" w:rsidRPr="00440300" w:rsidRDefault="00A975B5">
            <w:pPr>
              <w:pStyle w:val="TableParagraph"/>
              <w:spacing w:before="12" w:line="240" w:lineRule="exact"/>
              <w:ind w:left="10"/>
              <w:jc w:val="center"/>
            </w:pPr>
            <w:r>
              <w:t>-</w:t>
            </w:r>
          </w:p>
        </w:tc>
      </w:tr>
      <w:tr w:rsidR="002E36CE" w:rsidRPr="00440300">
        <w:trPr>
          <w:trHeight w:val="271"/>
        </w:trPr>
        <w:tc>
          <w:tcPr>
            <w:tcW w:w="5570" w:type="dxa"/>
            <w:tcBorders>
              <w:top w:val="nil"/>
              <w:bottom w:val="nil"/>
            </w:tcBorders>
          </w:tcPr>
          <w:p w:rsidR="002E36CE" w:rsidRPr="00440300" w:rsidRDefault="00A975B5">
            <w:pPr>
              <w:pStyle w:val="TableParagraph"/>
              <w:spacing w:before="11" w:line="241" w:lineRule="exact"/>
              <w:ind w:left="69"/>
            </w:pPr>
            <w:r>
              <w:t>Traspasos y otros</w:t>
            </w:r>
          </w:p>
        </w:tc>
        <w:tc>
          <w:tcPr>
            <w:tcW w:w="1598" w:type="dxa"/>
            <w:tcBorders>
              <w:top w:val="nil"/>
            </w:tcBorders>
          </w:tcPr>
          <w:p w:rsidR="002E36CE" w:rsidRPr="00440300" w:rsidRDefault="00A975B5">
            <w:pPr>
              <w:pStyle w:val="TableParagraph"/>
              <w:spacing w:before="11" w:line="241" w:lineRule="exact"/>
              <w:ind w:left="10"/>
              <w:jc w:val="center"/>
            </w:pPr>
            <w:r>
              <w:t>-</w:t>
            </w:r>
          </w:p>
        </w:tc>
      </w:tr>
      <w:tr w:rsidR="002E36CE" w:rsidRPr="00440300">
        <w:trPr>
          <w:trHeight w:val="272"/>
        </w:trPr>
        <w:tc>
          <w:tcPr>
            <w:tcW w:w="5570" w:type="dxa"/>
            <w:tcBorders>
              <w:top w:val="nil"/>
            </w:tcBorders>
          </w:tcPr>
          <w:p w:rsidR="002E36CE" w:rsidRPr="00440300" w:rsidRDefault="00A975B5">
            <w:pPr>
              <w:pStyle w:val="TableParagraph"/>
              <w:spacing w:before="11" w:line="241" w:lineRule="exact"/>
              <w:ind w:left="69"/>
            </w:pPr>
            <w:r>
              <w:t>Saldos a 31 de diciembre de 2018</w:t>
            </w:r>
          </w:p>
        </w:tc>
        <w:tc>
          <w:tcPr>
            <w:tcW w:w="1598" w:type="dxa"/>
          </w:tcPr>
          <w:p w:rsidR="002E36CE" w:rsidRPr="00440300" w:rsidRDefault="00A975B5">
            <w:pPr>
              <w:pStyle w:val="TableParagraph"/>
              <w:spacing w:before="11" w:line="241" w:lineRule="exact"/>
              <w:ind w:left="10"/>
              <w:jc w:val="center"/>
            </w:pPr>
            <w:r>
              <w:t>-</w:t>
            </w:r>
          </w:p>
        </w:tc>
      </w:tr>
      <w:tr w:rsidR="002E36CE" w:rsidRPr="00440300">
        <w:trPr>
          <w:trHeight w:val="272"/>
        </w:trPr>
        <w:tc>
          <w:tcPr>
            <w:tcW w:w="7168" w:type="dxa"/>
            <w:gridSpan w:val="2"/>
            <w:tcBorders>
              <w:left w:val="nil"/>
              <w:right w:val="nil"/>
            </w:tcBorders>
          </w:tcPr>
          <w:p w:rsidR="002E36CE" w:rsidRPr="00440300" w:rsidRDefault="002E36CE">
            <w:pPr>
              <w:pStyle w:val="TableParagraph"/>
              <w:rPr>
                <w:rFonts w:ascii="Times New Roman"/>
                <w:sz w:val="20"/>
                <w:lang w:val="ca-ES"/>
              </w:rPr>
            </w:pPr>
          </w:p>
        </w:tc>
      </w:tr>
      <w:tr w:rsidR="002E36CE" w:rsidRPr="00440300">
        <w:trPr>
          <w:trHeight w:val="272"/>
        </w:trPr>
        <w:tc>
          <w:tcPr>
            <w:tcW w:w="5570" w:type="dxa"/>
            <w:tcBorders>
              <w:bottom w:val="nil"/>
            </w:tcBorders>
          </w:tcPr>
          <w:p w:rsidR="002E36CE" w:rsidRPr="00440300" w:rsidRDefault="00A975B5">
            <w:pPr>
              <w:pStyle w:val="TableParagraph"/>
              <w:spacing w:before="11" w:line="241" w:lineRule="exact"/>
              <w:ind w:left="69"/>
            </w:pPr>
            <w:r>
              <w:t>TOTAL INMOVILIZADO MATERIAL NETO</w:t>
            </w:r>
          </w:p>
        </w:tc>
        <w:tc>
          <w:tcPr>
            <w:tcW w:w="1598" w:type="dxa"/>
          </w:tcPr>
          <w:p w:rsidR="002E36CE" w:rsidRPr="00440300" w:rsidRDefault="00A975B5">
            <w:pPr>
              <w:pStyle w:val="TableParagraph"/>
              <w:spacing w:before="11" w:line="241" w:lineRule="exact"/>
              <w:ind w:left="127" w:right="120"/>
              <w:jc w:val="center"/>
            </w:pPr>
            <w:r>
              <w:t>Euros</w:t>
            </w:r>
          </w:p>
        </w:tc>
      </w:tr>
      <w:tr w:rsidR="002E36CE" w:rsidRPr="00440300">
        <w:trPr>
          <w:trHeight w:val="277"/>
        </w:trPr>
        <w:tc>
          <w:tcPr>
            <w:tcW w:w="5570" w:type="dxa"/>
            <w:tcBorders>
              <w:top w:val="nil"/>
            </w:tcBorders>
          </w:tcPr>
          <w:p w:rsidR="002E36CE" w:rsidRPr="00440300" w:rsidRDefault="00A975B5">
            <w:pPr>
              <w:pStyle w:val="TableParagraph"/>
              <w:spacing w:before="11" w:line="241" w:lineRule="exact"/>
              <w:ind w:left="194"/>
            </w:pPr>
            <w:r>
              <w:t>Saldos a 31 de diciembre de 2018</w:t>
            </w:r>
          </w:p>
        </w:tc>
        <w:tc>
          <w:tcPr>
            <w:tcW w:w="1598" w:type="dxa"/>
          </w:tcPr>
          <w:p w:rsidR="002E36CE" w:rsidRPr="00440300" w:rsidRDefault="00A975B5">
            <w:pPr>
              <w:pStyle w:val="TableParagraph"/>
              <w:spacing w:before="11" w:line="241" w:lineRule="exact"/>
              <w:ind w:left="133" w:right="120"/>
              <w:jc w:val="center"/>
            </w:pPr>
            <w:r>
              <w:t>3.230.132,28</w:t>
            </w:r>
          </w:p>
        </w:tc>
      </w:tr>
    </w:tbl>
    <w:p w:rsidR="002E36CE" w:rsidRPr="00440300" w:rsidRDefault="002E36CE">
      <w:pPr>
        <w:pStyle w:val="Textoindependiente"/>
        <w:rPr>
          <w:sz w:val="20"/>
          <w:lang w:val="ca-ES"/>
        </w:rPr>
      </w:pPr>
    </w:p>
    <w:p w:rsidR="002E36CE" w:rsidRPr="00440300" w:rsidRDefault="002E36CE">
      <w:pPr>
        <w:pStyle w:val="Textoindependiente"/>
        <w:spacing w:before="3"/>
        <w:rPr>
          <w:sz w:val="18"/>
          <w:lang w:val="ca-ES"/>
        </w:rPr>
      </w:pPr>
    </w:p>
    <w:p w:rsidR="002E36CE" w:rsidRPr="00440300" w:rsidRDefault="00A975B5">
      <w:pPr>
        <w:pStyle w:val="Textoindependiente"/>
        <w:spacing w:before="112" w:line="259" w:lineRule="auto"/>
        <w:ind w:left="122" w:right="972"/>
        <w:jc w:val="both"/>
      </w:pPr>
      <w:r>
        <w:t>Existe con fecha 10/02/2014 un contrato de compraventa sujeto al cumplimiento de las condiciones suspensivas indicadas en el mismo. El precio de venta estipulado en el contrato es superior al valor contable del inmovilizado. Con fecha 17/07/2018 se procede a renovar por un plazo de un año el compromiso indicado.</w:t>
      </w:r>
    </w:p>
    <w:p w:rsidR="002E36CE" w:rsidRPr="00440300" w:rsidRDefault="002E36CE">
      <w:pPr>
        <w:pStyle w:val="Textoindependiente"/>
        <w:rPr>
          <w:sz w:val="26"/>
          <w:lang w:val="ca-ES"/>
        </w:rPr>
      </w:pPr>
    </w:p>
    <w:p w:rsidR="002E36CE" w:rsidRPr="00440300" w:rsidRDefault="002E36CE">
      <w:pPr>
        <w:pStyle w:val="Textoindependiente"/>
        <w:spacing w:before="5"/>
        <w:rPr>
          <w:sz w:val="20"/>
          <w:lang w:val="ca-ES"/>
        </w:rPr>
      </w:pPr>
    </w:p>
    <w:p w:rsidR="002E36CE" w:rsidRPr="00440300" w:rsidRDefault="00A975B5">
      <w:pPr>
        <w:pStyle w:val="Prrafodelista"/>
        <w:numPr>
          <w:ilvl w:val="0"/>
          <w:numId w:val="4"/>
        </w:numPr>
        <w:tabs>
          <w:tab w:val="left" w:pos="370"/>
        </w:tabs>
        <w:ind w:left="369" w:hanging="247"/>
        <w:rPr>
          <w:rFonts w:ascii="Lucida Sans"/>
          <w:b/>
        </w:rPr>
      </w:pPr>
      <w:r>
        <w:rPr>
          <w:rFonts w:ascii="Lucida Sans"/>
          <w:b/>
        </w:rPr>
        <w:t>Patrimonio neto y fondos propios</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9" w:lineRule="auto"/>
        <w:ind w:left="122" w:right="975"/>
        <w:jc w:val="both"/>
      </w:pPr>
      <w:r>
        <w:t>Al cierre del ejercicio 2018, el fondo dotacional asciende a 2.396.049,58 euros habiéndose producido las siguientes variaciones:</w:t>
      </w:r>
    </w:p>
    <w:p w:rsidR="002E36CE" w:rsidRPr="00440300" w:rsidRDefault="002E36CE">
      <w:pPr>
        <w:pStyle w:val="Textoindependiente"/>
        <w:rPr>
          <w:sz w:val="20"/>
          <w:lang w:val="ca-ES"/>
        </w:rPr>
      </w:pPr>
    </w:p>
    <w:p w:rsidR="002E36CE" w:rsidRPr="00440300" w:rsidRDefault="002E36CE">
      <w:pPr>
        <w:pStyle w:val="Textoindependiente"/>
        <w:spacing w:before="4"/>
        <w:rPr>
          <w:sz w:val="26"/>
          <w:lang w:val="ca-ES"/>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844"/>
        <w:gridCol w:w="1486"/>
        <w:gridCol w:w="1490"/>
        <w:gridCol w:w="1486"/>
        <w:gridCol w:w="1841"/>
      </w:tblGrid>
      <w:tr w:rsidR="002E36CE" w:rsidRPr="00440300">
        <w:trPr>
          <w:trHeight w:val="688"/>
        </w:trPr>
        <w:tc>
          <w:tcPr>
            <w:tcW w:w="1565" w:type="dxa"/>
          </w:tcPr>
          <w:p w:rsidR="002E36CE" w:rsidRPr="00440300" w:rsidRDefault="002E36CE">
            <w:pPr>
              <w:pStyle w:val="TableParagraph"/>
              <w:rPr>
                <w:rFonts w:ascii="Times New Roman"/>
                <w:sz w:val="20"/>
                <w:lang w:val="ca-ES"/>
              </w:rPr>
            </w:pPr>
          </w:p>
        </w:tc>
        <w:tc>
          <w:tcPr>
            <w:tcW w:w="1844" w:type="dxa"/>
          </w:tcPr>
          <w:p w:rsidR="002E36CE" w:rsidRPr="00440300" w:rsidRDefault="002E36CE">
            <w:pPr>
              <w:pStyle w:val="TableParagraph"/>
              <w:rPr>
                <w:lang w:val="ca-ES"/>
              </w:rPr>
            </w:pPr>
          </w:p>
          <w:p w:rsidR="002E36CE" w:rsidRPr="00440300" w:rsidRDefault="002E36CE">
            <w:pPr>
              <w:pStyle w:val="TableParagraph"/>
              <w:spacing w:before="9"/>
              <w:rPr>
                <w:sz w:val="17"/>
                <w:lang w:val="ca-ES"/>
              </w:rPr>
            </w:pPr>
          </w:p>
          <w:p w:rsidR="002E36CE" w:rsidRPr="00440300" w:rsidRDefault="00A975B5">
            <w:pPr>
              <w:pStyle w:val="TableParagraph"/>
              <w:spacing w:line="211" w:lineRule="exact"/>
              <w:ind w:right="117"/>
              <w:jc w:val="right"/>
              <w:rPr>
                <w:sz w:val="20"/>
              </w:rPr>
            </w:pPr>
            <w:r>
              <w:rPr>
                <w:sz w:val="20"/>
              </w:rPr>
              <w:t>Saldo a 31/12/2017</w:t>
            </w:r>
          </w:p>
        </w:tc>
        <w:tc>
          <w:tcPr>
            <w:tcW w:w="1486" w:type="dxa"/>
          </w:tcPr>
          <w:p w:rsidR="002E36CE" w:rsidRPr="00440300" w:rsidRDefault="00A975B5">
            <w:pPr>
              <w:pStyle w:val="TableParagraph"/>
              <w:spacing w:line="229" w:lineRule="exact"/>
              <w:ind w:left="361" w:hanging="89"/>
              <w:rPr>
                <w:sz w:val="20"/>
              </w:rPr>
            </w:pPr>
            <w:r>
              <w:rPr>
                <w:sz w:val="20"/>
              </w:rPr>
              <w:t>Distribución</w:t>
            </w:r>
          </w:p>
          <w:p w:rsidR="002E36CE" w:rsidRPr="00440300" w:rsidRDefault="00A975B5">
            <w:pPr>
              <w:pStyle w:val="TableParagraph"/>
              <w:spacing w:before="5" w:line="228" w:lineRule="exact"/>
              <w:ind w:left="517" w:hanging="156"/>
              <w:rPr>
                <w:sz w:val="20"/>
              </w:rPr>
            </w:pPr>
            <w:r>
              <w:rPr>
                <w:sz w:val="20"/>
              </w:rPr>
              <w:t>excedente 2017</w:t>
            </w:r>
          </w:p>
        </w:tc>
        <w:tc>
          <w:tcPr>
            <w:tcW w:w="1490" w:type="dxa"/>
          </w:tcPr>
          <w:p w:rsidR="002E36CE" w:rsidRPr="00440300" w:rsidRDefault="002E36CE">
            <w:pPr>
              <w:pStyle w:val="TableParagraph"/>
              <w:rPr>
                <w:lang w:val="ca-ES"/>
              </w:rPr>
            </w:pPr>
          </w:p>
          <w:p w:rsidR="002E36CE" w:rsidRPr="00440300" w:rsidRDefault="002E36CE">
            <w:pPr>
              <w:pStyle w:val="TableParagraph"/>
              <w:spacing w:before="9"/>
              <w:rPr>
                <w:sz w:val="17"/>
                <w:lang w:val="ca-ES"/>
              </w:rPr>
            </w:pPr>
          </w:p>
          <w:p w:rsidR="002E36CE" w:rsidRPr="00440300" w:rsidRDefault="00A975B5">
            <w:pPr>
              <w:pStyle w:val="TableParagraph"/>
              <w:spacing w:line="211" w:lineRule="exact"/>
              <w:ind w:left="248"/>
              <w:rPr>
                <w:sz w:val="20"/>
              </w:rPr>
            </w:pPr>
            <w:r>
              <w:rPr>
                <w:sz w:val="20"/>
              </w:rPr>
              <w:t>Incrementos</w:t>
            </w:r>
          </w:p>
        </w:tc>
        <w:tc>
          <w:tcPr>
            <w:tcW w:w="1486" w:type="dxa"/>
          </w:tcPr>
          <w:p w:rsidR="002E36CE" w:rsidRPr="00440300" w:rsidRDefault="002E36CE">
            <w:pPr>
              <w:pStyle w:val="TableParagraph"/>
              <w:rPr>
                <w:lang w:val="ca-ES"/>
              </w:rPr>
            </w:pPr>
          </w:p>
          <w:p w:rsidR="002E36CE" w:rsidRPr="00440300" w:rsidRDefault="002E36CE">
            <w:pPr>
              <w:pStyle w:val="TableParagraph"/>
              <w:spacing w:before="9"/>
              <w:rPr>
                <w:sz w:val="17"/>
                <w:lang w:val="ca-ES"/>
              </w:rPr>
            </w:pPr>
          </w:p>
          <w:p w:rsidR="002E36CE" w:rsidRPr="00440300" w:rsidRDefault="00A975B5">
            <w:pPr>
              <w:pStyle w:val="TableParagraph"/>
              <w:spacing w:line="211" w:lineRule="exact"/>
              <w:ind w:left="146"/>
              <w:rPr>
                <w:sz w:val="20"/>
              </w:rPr>
            </w:pPr>
            <w:r>
              <w:rPr>
                <w:sz w:val="20"/>
              </w:rPr>
              <w:t>Disminuciones</w:t>
            </w:r>
          </w:p>
        </w:tc>
        <w:tc>
          <w:tcPr>
            <w:tcW w:w="1841" w:type="dxa"/>
          </w:tcPr>
          <w:p w:rsidR="002E36CE" w:rsidRPr="00440300" w:rsidRDefault="002E36CE">
            <w:pPr>
              <w:pStyle w:val="TableParagraph"/>
              <w:rPr>
                <w:lang w:val="ca-ES"/>
              </w:rPr>
            </w:pPr>
          </w:p>
          <w:p w:rsidR="002E36CE" w:rsidRPr="00440300" w:rsidRDefault="002E36CE">
            <w:pPr>
              <w:pStyle w:val="TableParagraph"/>
              <w:spacing w:before="9"/>
              <w:rPr>
                <w:sz w:val="17"/>
                <w:lang w:val="ca-ES"/>
              </w:rPr>
            </w:pPr>
          </w:p>
          <w:p w:rsidR="002E36CE" w:rsidRPr="00440300" w:rsidRDefault="00A975B5">
            <w:pPr>
              <w:pStyle w:val="TableParagraph"/>
              <w:spacing w:line="211" w:lineRule="exact"/>
              <w:ind w:right="117"/>
              <w:jc w:val="right"/>
              <w:rPr>
                <w:sz w:val="20"/>
              </w:rPr>
            </w:pPr>
            <w:r>
              <w:rPr>
                <w:sz w:val="20"/>
              </w:rPr>
              <w:t>Saldo a 31/12/2018</w:t>
            </w:r>
          </w:p>
        </w:tc>
      </w:tr>
      <w:tr w:rsidR="002E36CE" w:rsidRPr="00440300">
        <w:trPr>
          <w:trHeight w:val="545"/>
        </w:trPr>
        <w:tc>
          <w:tcPr>
            <w:tcW w:w="1565" w:type="dxa"/>
          </w:tcPr>
          <w:p w:rsidR="002E36CE" w:rsidRPr="00440300" w:rsidRDefault="00A975B5">
            <w:pPr>
              <w:pStyle w:val="TableParagraph"/>
              <w:spacing w:before="10"/>
              <w:ind w:left="69"/>
            </w:pPr>
            <w:r>
              <w:t>Fondos</w:t>
            </w:r>
          </w:p>
          <w:p w:rsidR="002E36CE" w:rsidRPr="00440300" w:rsidRDefault="00A975B5">
            <w:pPr>
              <w:pStyle w:val="TableParagraph"/>
              <w:spacing w:before="21" w:line="241" w:lineRule="exact"/>
              <w:ind w:left="69"/>
            </w:pPr>
            <w:r>
              <w:t>dotacionales</w:t>
            </w:r>
          </w:p>
        </w:tc>
        <w:tc>
          <w:tcPr>
            <w:tcW w:w="1844" w:type="dxa"/>
          </w:tcPr>
          <w:p w:rsidR="002E36CE" w:rsidRPr="00440300" w:rsidRDefault="002E36CE">
            <w:pPr>
              <w:pStyle w:val="TableParagraph"/>
              <w:spacing w:before="4"/>
              <w:rPr>
                <w:sz w:val="27"/>
                <w:lang w:val="ca-ES"/>
              </w:rPr>
            </w:pPr>
          </w:p>
          <w:p w:rsidR="002E36CE" w:rsidRPr="00440300" w:rsidRDefault="00A975B5">
            <w:pPr>
              <w:pStyle w:val="TableParagraph"/>
              <w:spacing w:line="211" w:lineRule="exact"/>
              <w:ind w:right="63"/>
              <w:jc w:val="right"/>
              <w:rPr>
                <w:sz w:val="20"/>
              </w:rPr>
            </w:pPr>
            <w:r>
              <w:rPr>
                <w:sz w:val="20"/>
              </w:rPr>
              <w:t>2.396.049,58</w:t>
            </w:r>
          </w:p>
        </w:tc>
        <w:tc>
          <w:tcPr>
            <w:tcW w:w="1486" w:type="dxa"/>
          </w:tcPr>
          <w:p w:rsidR="002E36CE" w:rsidRPr="00440300" w:rsidRDefault="002E36CE">
            <w:pPr>
              <w:pStyle w:val="TableParagraph"/>
              <w:spacing w:before="4"/>
              <w:rPr>
                <w:sz w:val="27"/>
                <w:lang w:val="ca-ES"/>
              </w:rPr>
            </w:pPr>
          </w:p>
          <w:p w:rsidR="002E36CE" w:rsidRPr="00440300" w:rsidRDefault="00A975B5">
            <w:pPr>
              <w:pStyle w:val="TableParagraph"/>
              <w:spacing w:line="211" w:lineRule="exact"/>
              <w:ind w:right="61"/>
              <w:jc w:val="right"/>
              <w:rPr>
                <w:sz w:val="20"/>
              </w:rPr>
            </w:pPr>
            <w:r>
              <w:rPr>
                <w:sz w:val="20"/>
              </w:rPr>
              <w:t>-</w:t>
            </w:r>
          </w:p>
        </w:tc>
        <w:tc>
          <w:tcPr>
            <w:tcW w:w="1490" w:type="dxa"/>
          </w:tcPr>
          <w:p w:rsidR="002E36CE" w:rsidRPr="00440300" w:rsidRDefault="002E36CE">
            <w:pPr>
              <w:pStyle w:val="TableParagraph"/>
              <w:spacing w:before="4"/>
              <w:rPr>
                <w:sz w:val="27"/>
                <w:lang w:val="ca-ES"/>
              </w:rPr>
            </w:pPr>
          </w:p>
          <w:p w:rsidR="002E36CE" w:rsidRPr="00440300" w:rsidRDefault="00A975B5">
            <w:pPr>
              <w:pStyle w:val="TableParagraph"/>
              <w:spacing w:line="211" w:lineRule="exact"/>
              <w:ind w:right="58"/>
              <w:jc w:val="right"/>
              <w:rPr>
                <w:sz w:val="20"/>
              </w:rPr>
            </w:pPr>
            <w:r>
              <w:rPr>
                <w:sz w:val="20"/>
              </w:rPr>
              <w:t>-</w:t>
            </w:r>
          </w:p>
        </w:tc>
        <w:tc>
          <w:tcPr>
            <w:tcW w:w="1486" w:type="dxa"/>
          </w:tcPr>
          <w:p w:rsidR="002E36CE" w:rsidRPr="00440300" w:rsidRDefault="002E36CE">
            <w:pPr>
              <w:pStyle w:val="TableParagraph"/>
              <w:spacing w:before="4"/>
              <w:rPr>
                <w:sz w:val="27"/>
                <w:lang w:val="ca-ES"/>
              </w:rPr>
            </w:pPr>
          </w:p>
          <w:p w:rsidR="002E36CE" w:rsidRPr="00440300" w:rsidRDefault="00A975B5">
            <w:pPr>
              <w:pStyle w:val="TableParagraph"/>
              <w:spacing w:line="211" w:lineRule="exact"/>
              <w:ind w:right="58"/>
              <w:jc w:val="right"/>
              <w:rPr>
                <w:sz w:val="20"/>
              </w:rPr>
            </w:pPr>
            <w:r>
              <w:rPr>
                <w:sz w:val="20"/>
              </w:rPr>
              <w:t>-</w:t>
            </w:r>
          </w:p>
        </w:tc>
        <w:tc>
          <w:tcPr>
            <w:tcW w:w="1841" w:type="dxa"/>
          </w:tcPr>
          <w:p w:rsidR="002E36CE" w:rsidRPr="00440300" w:rsidRDefault="002E36CE">
            <w:pPr>
              <w:pStyle w:val="TableParagraph"/>
              <w:spacing w:before="4"/>
              <w:rPr>
                <w:sz w:val="27"/>
                <w:lang w:val="ca-ES"/>
              </w:rPr>
            </w:pPr>
          </w:p>
          <w:p w:rsidR="002E36CE" w:rsidRPr="00440300" w:rsidRDefault="00A975B5">
            <w:pPr>
              <w:pStyle w:val="TableParagraph"/>
              <w:spacing w:line="211" w:lineRule="exact"/>
              <w:ind w:right="62"/>
              <w:jc w:val="right"/>
              <w:rPr>
                <w:sz w:val="20"/>
              </w:rPr>
            </w:pPr>
            <w:r>
              <w:rPr>
                <w:sz w:val="20"/>
              </w:rPr>
              <w:t>2.396.049,58</w:t>
            </w:r>
          </w:p>
        </w:tc>
      </w:tr>
      <w:tr w:rsidR="002E36CE" w:rsidRPr="00440300">
        <w:trPr>
          <w:trHeight w:val="465"/>
        </w:trPr>
        <w:tc>
          <w:tcPr>
            <w:tcW w:w="1565" w:type="dxa"/>
          </w:tcPr>
          <w:p w:rsidR="002E36CE" w:rsidRPr="00440300" w:rsidRDefault="00A975B5">
            <w:pPr>
              <w:pStyle w:val="TableParagraph"/>
              <w:spacing w:before="204" w:line="241" w:lineRule="exact"/>
              <w:ind w:left="69"/>
            </w:pPr>
            <w:r>
              <w:t>Remanente</w:t>
            </w:r>
          </w:p>
        </w:tc>
        <w:tc>
          <w:tcPr>
            <w:tcW w:w="1844" w:type="dxa"/>
          </w:tcPr>
          <w:p w:rsidR="002E36CE" w:rsidRPr="00440300" w:rsidRDefault="002E36CE">
            <w:pPr>
              <w:pStyle w:val="TableParagraph"/>
              <w:spacing w:before="4"/>
              <w:rPr>
                <w:sz w:val="20"/>
                <w:lang w:val="ca-ES"/>
              </w:rPr>
            </w:pPr>
          </w:p>
          <w:p w:rsidR="002E36CE" w:rsidRPr="00440300" w:rsidRDefault="00A975B5">
            <w:pPr>
              <w:pStyle w:val="TableParagraph"/>
              <w:spacing w:line="211" w:lineRule="exact"/>
              <w:ind w:right="63"/>
              <w:jc w:val="right"/>
              <w:rPr>
                <w:sz w:val="20"/>
              </w:rPr>
            </w:pPr>
            <w:r>
              <w:rPr>
                <w:sz w:val="20"/>
              </w:rPr>
              <w:t>775.417,29</w:t>
            </w:r>
          </w:p>
        </w:tc>
        <w:tc>
          <w:tcPr>
            <w:tcW w:w="1486" w:type="dxa"/>
          </w:tcPr>
          <w:p w:rsidR="002E36CE" w:rsidRPr="00440300" w:rsidRDefault="002E36CE">
            <w:pPr>
              <w:pStyle w:val="TableParagraph"/>
              <w:spacing w:before="4"/>
              <w:rPr>
                <w:sz w:val="20"/>
                <w:lang w:val="ca-ES"/>
              </w:rPr>
            </w:pPr>
          </w:p>
          <w:p w:rsidR="002E36CE" w:rsidRPr="00440300" w:rsidRDefault="00A975B5">
            <w:pPr>
              <w:pStyle w:val="TableParagraph"/>
              <w:spacing w:line="211" w:lineRule="exact"/>
              <w:ind w:right="64"/>
              <w:jc w:val="right"/>
              <w:rPr>
                <w:sz w:val="20"/>
              </w:rPr>
            </w:pPr>
            <w:r>
              <w:rPr>
                <w:sz w:val="20"/>
              </w:rPr>
              <w:t>-2.908,54</w:t>
            </w:r>
          </w:p>
        </w:tc>
        <w:tc>
          <w:tcPr>
            <w:tcW w:w="1490" w:type="dxa"/>
          </w:tcPr>
          <w:p w:rsidR="002E36CE" w:rsidRPr="00440300" w:rsidRDefault="002E36CE">
            <w:pPr>
              <w:pStyle w:val="TableParagraph"/>
              <w:spacing w:before="4"/>
              <w:rPr>
                <w:sz w:val="20"/>
                <w:lang w:val="ca-ES"/>
              </w:rPr>
            </w:pPr>
          </w:p>
          <w:p w:rsidR="002E36CE" w:rsidRPr="00440300" w:rsidRDefault="00A975B5">
            <w:pPr>
              <w:pStyle w:val="TableParagraph"/>
              <w:spacing w:line="211" w:lineRule="exact"/>
              <w:ind w:right="58"/>
              <w:jc w:val="right"/>
              <w:rPr>
                <w:sz w:val="20"/>
              </w:rPr>
            </w:pPr>
            <w:r>
              <w:rPr>
                <w:sz w:val="20"/>
              </w:rPr>
              <w:t>-</w:t>
            </w:r>
          </w:p>
        </w:tc>
        <w:tc>
          <w:tcPr>
            <w:tcW w:w="1486" w:type="dxa"/>
          </w:tcPr>
          <w:p w:rsidR="002E36CE" w:rsidRPr="00440300" w:rsidRDefault="002E36CE">
            <w:pPr>
              <w:pStyle w:val="TableParagraph"/>
              <w:spacing w:before="4"/>
              <w:rPr>
                <w:sz w:val="20"/>
                <w:lang w:val="ca-ES"/>
              </w:rPr>
            </w:pPr>
          </w:p>
          <w:p w:rsidR="002E36CE" w:rsidRPr="00440300" w:rsidRDefault="00A975B5">
            <w:pPr>
              <w:pStyle w:val="TableParagraph"/>
              <w:spacing w:line="211" w:lineRule="exact"/>
              <w:ind w:right="58"/>
              <w:jc w:val="right"/>
              <w:rPr>
                <w:sz w:val="20"/>
              </w:rPr>
            </w:pPr>
            <w:r>
              <w:rPr>
                <w:sz w:val="20"/>
              </w:rPr>
              <w:t>-</w:t>
            </w:r>
          </w:p>
        </w:tc>
        <w:tc>
          <w:tcPr>
            <w:tcW w:w="1841" w:type="dxa"/>
          </w:tcPr>
          <w:p w:rsidR="002E36CE" w:rsidRPr="00440300" w:rsidRDefault="002E36CE">
            <w:pPr>
              <w:pStyle w:val="TableParagraph"/>
              <w:spacing w:before="4"/>
              <w:rPr>
                <w:sz w:val="20"/>
                <w:lang w:val="ca-ES"/>
              </w:rPr>
            </w:pPr>
          </w:p>
          <w:p w:rsidR="002E36CE" w:rsidRPr="00440300" w:rsidRDefault="00A975B5">
            <w:pPr>
              <w:pStyle w:val="TableParagraph"/>
              <w:spacing w:line="211" w:lineRule="exact"/>
              <w:ind w:right="62"/>
              <w:jc w:val="right"/>
              <w:rPr>
                <w:sz w:val="20"/>
              </w:rPr>
            </w:pPr>
            <w:r>
              <w:rPr>
                <w:sz w:val="20"/>
              </w:rPr>
              <w:t>772.508,75</w:t>
            </w:r>
          </w:p>
        </w:tc>
      </w:tr>
      <w:tr w:rsidR="002E36CE" w:rsidRPr="00440300">
        <w:trPr>
          <w:trHeight w:val="544"/>
        </w:trPr>
        <w:tc>
          <w:tcPr>
            <w:tcW w:w="1565" w:type="dxa"/>
          </w:tcPr>
          <w:p w:rsidR="002E36CE" w:rsidRPr="00440300" w:rsidRDefault="00A975B5">
            <w:pPr>
              <w:pStyle w:val="TableParagraph"/>
              <w:spacing w:before="9"/>
              <w:ind w:left="69"/>
            </w:pPr>
            <w:r>
              <w:t>Excedente</w:t>
            </w:r>
          </w:p>
          <w:p w:rsidR="002E36CE" w:rsidRPr="00440300" w:rsidRDefault="00A975B5">
            <w:pPr>
              <w:pStyle w:val="TableParagraph"/>
              <w:spacing w:before="21" w:line="241" w:lineRule="exact"/>
              <w:ind w:left="69"/>
            </w:pPr>
            <w:r>
              <w:t>ejercicio</w:t>
            </w:r>
          </w:p>
        </w:tc>
        <w:tc>
          <w:tcPr>
            <w:tcW w:w="1844" w:type="dxa"/>
          </w:tcPr>
          <w:p w:rsidR="002E36CE" w:rsidRPr="00440300" w:rsidRDefault="002E36CE">
            <w:pPr>
              <w:pStyle w:val="TableParagraph"/>
              <w:spacing w:before="3"/>
              <w:rPr>
                <w:sz w:val="27"/>
                <w:lang w:val="ca-ES"/>
              </w:rPr>
            </w:pPr>
          </w:p>
          <w:p w:rsidR="002E36CE" w:rsidRPr="00440300" w:rsidRDefault="00A975B5">
            <w:pPr>
              <w:pStyle w:val="TableParagraph"/>
              <w:spacing w:line="211" w:lineRule="exact"/>
              <w:ind w:right="62"/>
              <w:jc w:val="right"/>
              <w:rPr>
                <w:sz w:val="20"/>
              </w:rPr>
            </w:pPr>
            <w:r>
              <w:rPr>
                <w:sz w:val="20"/>
              </w:rPr>
              <w:t>-2.908,54</w:t>
            </w:r>
          </w:p>
        </w:tc>
        <w:tc>
          <w:tcPr>
            <w:tcW w:w="1486" w:type="dxa"/>
          </w:tcPr>
          <w:p w:rsidR="002E36CE" w:rsidRPr="00440300" w:rsidRDefault="002E36CE">
            <w:pPr>
              <w:pStyle w:val="TableParagraph"/>
              <w:spacing w:before="3"/>
              <w:rPr>
                <w:sz w:val="27"/>
                <w:lang w:val="ca-ES"/>
              </w:rPr>
            </w:pPr>
          </w:p>
          <w:p w:rsidR="002E36CE" w:rsidRPr="00440300" w:rsidRDefault="00A975B5">
            <w:pPr>
              <w:pStyle w:val="TableParagraph"/>
              <w:spacing w:line="211" w:lineRule="exact"/>
              <w:ind w:right="63"/>
              <w:jc w:val="right"/>
              <w:rPr>
                <w:sz w:val="20"/>
              </w:rPr>
            </w:pPr>
            <w:r>
              <w:rPr>
                <w:sz w:val="20"/>
              </w:rPr>
              <w:t>2.908,54</w:t>
            </w:r>
          </w:p>
        </w:tc>
        <w:tc>
          <w:tcPr>
            <w:tcW w:w="1490" w:type="dxa"/>
          </w:tcPr>
          <w:p w:rsidR="002E36CE" w:rsidRPr="00440300" w:rsidRDefault="002E36CE">
            <w:pPr>
              <w:pStyle w:val="TableParagraph"/>
              <w:rPr>
                <w:rFonts w:ascii="Times New Roman"/>
                <w:sz w:val="20"/>
                <w:lang w:val="ca-ES"/>
              </w:rPr>
            </w:pPr>
          </w:p>
        </w:tc>
        <w:tc>
          <w:tcPr>
            <w:tcW w:w="1486" w:type="dxa"/>
          </w:tcPr>
          <w:p w:rsidR="002E36CE" w:rsidRPr="00440300" w:rsidRDefault="002E36CE">
            <w:pPr>
              <w:pStyle w:val="TableParagraph"/>
              <w:spacing w:before="3"/>
              <w:rPr>
                <w:sz w:val="27"/>
                <w:lang w:val="ca-ES"/>
              </w:rPr>
            </w:pPr>
          </w:p>
          <w:p w:rsidR="002E36CE" w:rsidRPr="00440300" w:rsidRDefault="00A975B5">
            <w:pPr>
              <w:pStyle w:val="TableParagraph"/>
              <w:spacing w:line="211" w:lineRule="exact"/>
              <w:ind w:right="59"/>
              <w:jc w:val="right"/>
              <w:rPr>
                <w:sz w:val="20"/>
              </w:rPr>
            </w:pPr>
            <w:r>
              <w:rPr>
                <w:sz w:val="20"/>
              </w:rPr>
              <w:t>-5.548,88</w:t>
            </w:r>
          </w:p>
        </w:tc>
        <w:tc>
          <w:tcPr>
            <w:tcW w:w="1841" w:type="dxa"/>
          </w:tcPr>
          <w:p w:rsidR="002E36CE" w:rsidRPr="00440300" w:rsidRDefault="002E36CE">
            <w:pPr>
              <w:pStyle w:val="TableParagraph"/>
              <w:spacing w:before="3"/>
              <w:rPr>
                <w:sz w:val="27"/>
                <w:lang w:val="ca-ES"/>
              </w:rPr>
            </w:pPr>
          </w:p>
          <w:p w:rsidR="002E36CE" w:rsidRPr="00440300" w:rsidRDefault="00A975B5">
            <w:pPr>
              <w:pStyle w:val="TableParagraph"/>
              <w:spacing w:line="211" w:lineRule="exact"/>
              <w:ind w:right="62"/>
              <w:jc w:val="right"/>
              <w:rPr>
                <w:sz w:val="20"/>
              </w:rPr>
            </w:pPr>
            <w:r>
              <w:rPr>
                <w:sz w:val="20"/>
              </w:rPr>
              <w:t>-5.548,88</w:t>
            </w:r>
          </w:p>
        </w:tc>
      </w:tr>
    </w:tbl>
    <w:p w:rsidR="002E36CE" w:rsidRPr="00440300" w:rsidRDefault="002E36CE">
      <w:pPr>
        <w:spacing w:line="211" w:lineRule="exact"/>
        <w:jc w:val="right"/>
        <w:rPr>
          <w:sz w:val="20"/>
          <w:lang w:val="ca-ES"/>
        </w:rPr>
        <w:sectPr w:rsidR="002E36CE" w:rsidRPr="00440300">
          <w:pgSz w:w="12240" w:h="15840"/>
          <w:pgMar w:top="1500" w:right="720" w:bottom="280" w:left="1580" w:header="720" w:footer="720" w:gutter="0"/>
          <w:cols w:space="720"/>
        </w:sectPr>
      </w:pPr>
    </w:p>
    <w:p w:rsidR="002E36CE" w:rsidRPr="00440300" w:rsidRDefault="00A975B5">
      <w:pPr>
        <w:pStyle w:val="Prrafodelista"/>
        <w:numPr>
          <w:ilvl w:val="0"/>
          <w:numId w:val="4"/>
        </w:numPr>
        <w:tabs>
          <w:tab w:val="left" w:pos="370"/>
        </w:tabs>
        <w:spacing w:before="79"/>
        <w:ind w:left="369" w:hanging="247"/>
        <w:jc w:val="both"/>
        <w:rPr>
          <w:rFonts w:ascii="Lucida Sans"/>
          <w:b/>
        </w:rPr>
      </w:pPr>
      <w:r>
        <w:rPr>
          <w:rFonts w:ascii="Lucida Sans"/>
          <w:b/>
        </w:rPr>
        <w:lastRenderedPageBreak/>
        <w:t>Fundadores, usuarios y otros deudores de las actividades</w:t>
      </w:r>
    </w:p>
    <w:p w:rsidR="002E36CE" w:rsidRPr="00440300" w:rsidRDefault="002E36CE">
      <w:pPr>
        <w:pStyle w:val="Textoindependiente"/>
        <w:spacing w:before="10"/>
        <w:rPr>
          <w:rFonts w:ascii="Lucida Sans"/>
          <w:b/>
          <w:sz w:val="24"/>
          <w:lang w:val="ca-ES"/>
        </w:rPr>
      </w:pPr>
    </w:p>
    <w:p w:rsidR="002E36CE" w:rsidRPr="00440300" w:rsidRDefault="00A975B5" w:rsidP="006D2303">
      <w:pPr>
        <w:pStyle w:val="Textoindependiente"/>
        <w:tabs>
          <w:tab w:val="left" w:pos="9072"/>
        </w:tabs>
        <w:spacing w:before="1"/>
        <w:ind w:left="122" w:right="868"/>
        <w:jc w:val="both"/>
      </w:pPr>
      <w:r>
        <w:t>El movimiento de la cuenta «Fundadores, usuarios y otros deudores de las actividades», ha sido el siguiente:</w:t>
      </w:r>
    </w:p>
    <w:p w:rsidR="002E36CE" w:rsidRPr="00440300" w:rsidRDefault="002E36CE">
      <w:pPr>
        <w:pStyle w:val="Textoindependiente"/>
        <w:spacing w:before="4"/>
        <w:rPr>
          <w:sz w:val="24"/>
          <w:lang w:val="ca-ES"/>
        </w:rPr>
      </w:pPr>
    </w:p>
    <w:tbl>
      <w:tblPr>
        <w:tblStyle w:val="TableNormal"/>
        <w:tblW w:w="0" w:type="auto"/>
        <w:tblInd w:w="293" w:type="dxa"/>
        <w:tblLayout w:type="fixed"/>
        <w:tblLook w:val="01E0" w:firstRow="1" w:lastRow="1" w:firstColumn="1" w:lastColumn="1" w:noHBand="0" w:noVBand="0"/>
      </w:tblPr>
      <w:tblGrid>
        <w:gridCol w:w="4681"/>
        <w:gridCol w:w="2155"/>
      </w:tblGrid>
      <w:tr w:rsidR="002E36CE" w:rsidRPr="00440300">
        <w:trPr>
          <w:trHeight w:val="273"/>
        </w:trPr>
        <w:tc>
          <w:tcPr>
            <w:tcW w:w="4681" w:type="dxa"/>
          </w:tcPr>
          <w:p w:rsidR="002E36CE" w:rsidRPr="00440300" w:rsidRDefault="00A975B5">
            <w:pPr>
              <w:pStyle w:val="TableParagraph"/>
              <w:spacing w:before="12" w:line="242" w:lineRule="exact"/>
              <w:ind w:left="50"/>
            </w:pPr>
            <w:r>
              <w:t>Entradas o dotaciones</w:t>
            </w:r>
          </w:p>
        </w:tc>
        <w:tc>
          <w:tcPr>
            <w:tcW w:w="2155" w:type="dxa"/>
          </w:tcPr>
          <w:p w:rsidR="002E36CE" w:rsidRPr="00440300" w:rsidRDefault="00A975B5">
            <w:pPr>
              <w:pStyle w:val="TableParagraph"/>
              <w:spacing w:before="12" w:line="242" w:lineRule="exact"/>
              <w:ind w:right="48"/>
              <w:jc w:val="right"/>
            </w:pPr>
            <w:r>
              <w:t>4.769.289,51</w:t>
            </w:r>
          </w:p>
        </w:tc>
      </w:tr>
      <w:tr w:rsidR="002E36CE" w:rsidRPr="00440300">
        <w:trPr>
          <w:trHeight w:val="272"/>
        </w:trPr>
        <w:tc>
          <w:tcPr>
            <w:tcW w:w="4681" w:type="dxa"/>
          </w:tcPr>
          <w:p w:rsidR="002E36CE" w:rsidRPr="00440300" w:rsidRDefault="00A975B5">
            <w:pPr>
              <w:pStyle w:val="TableParagraph"/>
              <w:spacing w:before="12" w:line="240" w:lineRule="exact"/>
              <w:ind w:left="50"/>
            </w:pPr>
            <w:r>
              <w:t>Salidas o reducciones</w:t>
            </w:r>
          </w:p>
        </w:tc>
        <w:tc>
          <w:tcPr>
            <w:tcW w:w="2155" w:type="dxa"/>
          </w:tcPr>
          <w:p w:rsidR="002E36CE" w:rsidRPr="00440300" w:rsidRDefault="00A975B5">
            <w:pPr>
              <w:pStyle w:val="TableParagraph"/>
              <w:spacing w:before="12" w:line="240" w:lineRule="exact"/>
              <w:ind w:right="48"/>
              <w:jc w:val="right"/>
            </w:pPr>
            <w:r>
              <w:t>-4.765.216,03</w:t>
            </w:r>
          </w:p>
        </w:tc>
      </w:tr>
      <w:tr w:rsidR="002E36CE" w:rsidRPr="00440300">
        <w:trPr>
          <w:trHeight w:val="272"/>
        </w:trPr>
        <w:tc>
          <w:tcPr>
            <w:tcW w:w="4681" w:type="dxa"/>
          </w:tcPr>
          <w:p w:rsidR="002E36CE" w:rsidRPr="00440300" w:rsidRDefault="00A975B5">
            <w:pPr>
              <w:pStyle w:val="TableParagraph"/>
              <w:spacing w:before="11" w:line="242" w:lineRule="exact"/>
              <w:ind w:left="50"/>
            </w:pPr>
            <w:r>
              <w:t>Saldo final (excedente ejercicio)</w:t>
            </w:r>
          </w:p>
        </w:tc>
        <w:tc>
          <w:tcPr>
            <w:tcW w:w="2155" w:type="dxa"/>
          </w:tcPr>
          <w:p w:rsidR="002E36CE" w:rsidRPr="00440300" w:rsidRDefault="00A975B5">
            <w:pPr>
              <w:pStyle w:val="TableParagraph"/>
              <w:spacing w:before="11" w:line="242" w:lineRule="exact"/>
              <w:ind w:right="48"/>
              <w:jc w:val="right"/>
            </w:pPr>
            <w:r>
              <w:t>4.073,48</w:t>
            </w:r>
          </w:p>
        </w:tc>
      </w:tr>
      <w:tr w:rsidR="002E36CE" w:rsidRPr="00440300">
        <w:trPr>
          <w:trHeight w:val="272"/>
        </w:trPr>
        <w:tc>
          <w:tcPr>
            <w:tcW w:w="4681" w:type="dxa"/>
          </w:tcPr>
          <w:p w:rsidR="002E36CE" w:rsidRPr="00440300" w:rsidRDefault="00A975B5">
            <w:pPr>
              <w:pStyle w:val="TableParagraph"/>
              <w:spacing w:before="12" w:line="240" w:lineRule="exact"/>
              <w:ind w:left="50"/>
            </w:pPr>
            <w:r>
              <w:t>Gastos financieros</w:t>
            </w:r>
          </w:p>
        </w:tc>
        <w:tc>
          <w:tcPr>
            <w:tcW w:w="2155" w:type="dxa"/>
          </w:tcPr>
          <w:p w:rsidR="002E36CE" w:rsidRPr="00440300" w:rsidRDefault="00A975B5">
            <w:pPr>
              <w:pStyle w:val="TableParagraph"/>
              <w:spacing w:before="12" w:line="240" w:lineRule="exact"/>
              <w:ind w:right="148"/>
              <w:jc w:val="right"/>
            </w:pPr>
            <w:r>
              <w:t>-9.622,36</w:t>
            </w:r>
          </w:p>
        </w:tc>
      </w:tr>
      <w:tr w:rsidR="002E36CE" w:rsidRPr="00440300">
        <w:trPr>
          <w:trHeight w:val="272"/>
        </w:trPr>
        <w:tc>
          <w:tcPr>
            <w:tcW w:w="4681" w:type="dxa"/>
          </w:tcPr>
          <w:p w:rsidR="002E36CE" w:rsidRPr="00440300" w:rsidRDefault="00A975B5">
            <w:pPr>
              <w:pStyle w:val="TableParagraph"/>
              <w:spacing w:before="11" w:line="242" w:lineRule="exact"/>
              <w:ind w:left="50"/>
            </w:pPr>
            <w:r>
              <w:t>Excedente negativo pendiente de aplicación</w:t>
            </w:r>
          </w:p>
        </w:tc>
        <w:tc>
          <w:tcPr>
            <w:tcW w:w="2155" w:type="dxa"/>
          </w:tcPr>
          <w:p w:rsidR="002E36CE" w:rsidRPr="00440300" w:rsidRDefault="00A975B5">
            <w:pPr>
              <w:pStyle w:val="TableParagraph"/>
              <w:spacing w:before="11" w:line="242" w:lineRule="exact"/>
              <w:ind w:right="148"/>
              <w:jc w:val="right"/>
            </w:pPr>
            <w:r>
              <w:t>-5.548,88</w:t>
            </w:r>
          </w:p>
        </w:tc>
      </w:tr>
    </w:tbl>
    <w:p w:rsidR="002E36CE" w:rsidRPr="00440300" w:rsidRDefault="002E36CE">
      <w:pPr>
        <w:pStyle w:val="Textoindependiente"/>
        <w:rPr>
          <w:sz w:val="26"/>
          <w:lang w:val="ca-ES"/>
        </w:rPr>
      </w:pPr>
    </w:p>
    <w:p w:rsidR="002E36CE" w:rsidRPr="00440300" w:rsidRDefault="002E36CE">
      <w:pPr>
        <w:pStyle w:val="Textoindependiente"/>
        <w:spacing w:before="9"/>
        <w:rPr>
          <w:sz w:val="21"/>
          <w:lang w:val="ca-ES"/>
        </w:rPr>
      </w:pPr>
    </w:p>
    <w:p w:rsidR="002E36CE" w:rsidRPr="00440300" w:rsidRDefault="00A975B5">
      <w:pPr>
        <w:pStyle w:val="Prrafodelista"/>
        <w:numPr>
          <w:ilvl w:val="0"/>
          <w:numId w:val="4"/>
        </w:numPr>
        <w:tabs>
          <w:tab w:val="left" w:pos="370"/>
        </w:tabs>
        <w:ind w:left="369" w:hanging="247"/>
        <w:jc w:val="both"/>
        <w:rPr>
          <w:rFonts w:ascii="Lucida Sans" w:hAnsi="Lucida Sans"/>
          <w:b/>
        </w:rPr>
      </w:pPr>
      <w:r>
        <w:rPr>
          <w:rFonts w:ascii="Lucida Sans" w:hAnsi="Lucida Sans"/>
          <w:b/>
        </w:rPr>
        <w:t>Situación fiscal</w:t>
      </w:r>
    </w:p>
    <w:p w:rsidR="002E36CE" w:rsidRPr="00440300" w:rsidRDefault="002E36CE">
      <w:pPr>
        <w:pStyle w:val="Textoindependiente"/>
        <w:spacing w:before="11"/>
        <w:rPr>
          <w:rFonts w:ascii="Lucida Sans"/>
          <w:b/>
          <w:sz w:val="24"/>
          <w:lang w:val="ca-ES"/>
        </w:rPr>
      </w:pPr>
    </w:p>
    <w:p w:rsidR="002E36CE" w:rsidRPr="00440300" w:rsidRDefault="00A975B5" w:rsidP="006D2303">
      <w:pPr>
        <w:pStyle w:val="Textoindependiente"/>
        <w:spacing w:line="259" w:lineRule="auto"/>
        <w:ind w:left="122" w:right="834"/>
        <w:jc w:val="both"/>
      </w:pPr>
      <w:r>
        <w:t>La Fundación no ha tenido ninguna actividad lucrativa que se aparte del objeto social, por lo que está totalmente exenta de tributación en el Impuesto de Sociedades.</w:t>
      </w:r>
    </w:p>
    <w:p w:rsidR="002E36CE" w:rsidRPr="00440300" w:rsidRDefault="002E36CE">
      <w:pPr>
        <w:pStyle w:val="Textoindependiente"/>
        <w:rPr>
          <w:sz w:val="26"/>
          <w:lang w:val="ca-ES"/>
        </w:rPr>
      </w:pPr>
    </w:p>
    <w:p w:rsidR="002E36CE" w:rsidRPr="00440300" w:rsidRDefault="00A975B5">
      <w:pPr>
        <w:pStyle w:val="Prrafodelista"/>
        <w:numPr>
          <w:ilvl w:val="0"/>
          <w:numId w:val="4"/>
        </w:numPr>
        <w:tabs>
          <w:tab w:val="left" w:pos="367"/>
        </w:tabs>
        <w:spacing w:before="207"/>
        <w:ind w:left="366" w:hanging="244"/>
        <w:rPr>
          <w:rFonts w:ascii="Lucida Sans"/>
          <w:b/>
        </w:rPr>
      </w:pPr>
      <w:r>
        <w:rPr>
          <w:rFonts w:ascii="Lucida Sans"/>
          <w:b/>
        </w:rPr>
        <w:t>Ingresos y gastos</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9" w:lineRule="auto"/>
        <w:ind w:left="122" w:right="973"/>
        <w:jc w:val="both"/>
      </w:pPr>
      <w:r>
        <w:t>El importe de las ayudas concedidas es el que consta en el apartado 2a) de la cuenta de resultados abreviada, con un importe global de 2.720.133,88 euros (2.710.113,01 euros a 31/12/2017) y que han sido destinados a las actividades propias de Fundación Damm, según consta en el apartado 1 de esta Memoria.</w:t>
      </w:r>
    </w:p>
    <w:p w:rsidR="002E36CE" w:rsidRPr="00440300" w:rsidRDefault="002E36CE">
      <w:pPr>
        <w:pStyle w:val="Textoindependiente"/>
        <w:spacing w:before="6"/>
        <w:rPr>
          <w:sz w:val="23"/>
          <w:lang w:val="ca-ES"/>
        </w:rPr>
      </w:pPr>
    </w:p>
    <w:p w:rsidR="002E36CE" w:rsidRPr="00440300" w:rsidRDefault="00A975B5" w:rsidP="006D2303">
      <w:pPr>
        <w:pStyle w:val="Textoindependiente"/>
        <w:spacing w:line="259" w:lineRule="auto"/>
        <w:ind w:left="122" w:right="868"/>
        <w:jc w:val="both"/>
      </w:pPr>
      <w:r>
        <w:t>En el apartado de otros gastos, por importe de 1.314.664,59 euros, se incluyen varias partidas:</w:t>
      </w:r>
    </w:p>
    <w:p w:rsidR="002E36CE" w:rsidRPr="00440300" w:rsidRDefault="002E36CE">
      <w:pPr>
        <w:pStyle w:val="Textoindependiente"/>
        <w:spacing w:before="6"/>
        <w:rPr>
          <w:sz w:val="26"/>
          <w:lang w:val="ca-ES"/>
        </w:rPr>
      </w:pPr>
    </w:p>
    <w:tbl>
      <w:tblPr>
        <w:tblStyle w:val="TableNormal"/>
        <w:tblW w:w="0" w:type="auto"/>
        <w:tblInd w:w="1211" w:type="dxa"/>
        <w:tblLayout w:type="fixed"/>
        <w:tblLook w:val="01E0" w:firstRow="1" w:lastRow="1" w:firstColumn="1" w:lastColumn="1" w:noHBand="0" w:noVBand="0"/>
      </w:tblPr>
      <w:tblGrid>
        <w:gridCol w:w="5036"/>
        <w:gridCol w:w="1644"/>
      </w:tblGrid>
      <w:tr w:rsidR="002E36CE" w:rsidRPr="00440300">
        <w:trPr>
          <w:trHeight w:val="438"/>
        </w:trPr>
        <w:tc>
          <w:tcPr>
            <w:tcW w:w="5036" w:type="dxa"/>
          </w:tcPr>
          <w:p w:rsidR="002E36CE" w:rsidRPr="00440300" w:rsidRDefault="00A975B5">
            <w:pPr>
              <w:pStyle w:val="TableParagraph"/>
              <w:spacing w:line="247" w:lineRule="exact"/>
              <w:ind w:left="200"/>
              <w:rPr>
                <w:b/>
              </w:rPr>
            </w:pPr>
            <w:r>
              <w:rPr>
                <w:b/>
              </w:rPr>
              <w:t>SUMINISTROS</w:t>
            </w:r>
          </w:p>
        </w:tc>
        <w:tc>
          <w:tcPr>
            <w:tcW w:w="1644" w:type="dxa"/>
          </w:tcPr>
          <w:p w:rsidR="002E36CE" w:rsidRPr="00440300" w:rsidRDefault="00A975B5">
            <w:pPr>
              <w:pStyle w:val="TableParagraph"/>
              <w:spacing w:line="247" w:lineRule="exact"/>
              <w:ind w:right="197"/>
              <w:jc w:val="right"/>
              <w:rPr>
                <w:b/>
              </w:rPr>
            </w:pPr>
            <w:r>
              <w:rPr>
                <w:b/>
              </w:rPr>
              <w:t>2.738,19</w:t>
            </w:r>
          </w:p>
        </w:tc>
      </w:tr>
      <w:tr w:rsidR="002E36CE" w:rsidRPr="00440300">
        <w:trPr>
          <w:trHeight w:val="630"/>
        </w:trPr>
        <w:tc>
          <w:tcPr>
            <w:tcW w:w="5036" w:type="dxa"/>
          </w:tcPr>
          <w:p w:rsidR="002E36CE" w:rsidRPr="00440300" w:rsidRDefault="00A975B5">
            <w:pPr>
              <w:pStyle w:val="TableParagraph"/>
              <w:spacing w:before="185"/>
              <w:ind w:left="200"/>
              <w:rPr>
                <w:b/>
              </w:rPr>
            </w:pPr>
            <w:r>
              <w:rPr>
                <w:b/>
              </w:rPr>
              <w:t>SEGUROS Y SERVICIOS BANCARIOS</w:t>
            </w:r>
          </w:p>
        </w:tc>
        <w:tc>
          <w:tcPr>
            <w:tcW w:w="1644" w:type="dxa"/>
          </w:tcPr>
          <w:p w:rsidR="002E36CE" w:rsidRPr="00440300" w:rsidRDefault="00A975B5">
            <w:pPr>
              <w:pStyle w:val="TableParagraph"/>
              <w:spacing w:before="185"/>
              <w:ind w:right="197"/>
              <w:jc w:val="right"/>
              <w:rPr>
                <w:b/>
              </w:rPr>
            </w:pPr>
            <w:r>
              <w:rPr>
                <w:b/>
              </w:rPr>
              <w:t>2.727,94</w:t>
            </w:r>
          </w:p>
        </w:tc>
      </w:tr>
      <w:tr w:rsidR="002E36CE" w:rsidRPr="00440300">
        <w:trPr>
          <w:trHeight w:val="630"/>
        </w:trPr>
        <w:tc>
          <w:tcPr>
            <w:tcW w:w="5036" w:type="dxa"/>
          </w:tcPr>
          <w:p w:rsidR="002E36CE" w:rsidRPr="00440300" w:rsidRDefault="00A975B5">
            <w:pPr>
              <w:pStyle w:val="TableParagraph"/>
              <w:spacing w:before="184"/>
              <w:ind w:left="200"/>
              <w:rPr>
                <w:b/>
              </w:rPr>
            </w:pPr>
            <w:r>
              <w:rPr>
                <w:b/>
              </w:rPr>
              <w:t>SERVICIOS PROFESIONALES INDEPENDIENTES</w:t>
            </w:r>
          </w:p>
        </w:tc>
        <w:tc>
          <w:tcPr>
            <w:tcW w:w="1644" w:type="dxa"/>
          </w:tcPr>
          <w:p w:rsidR="002E36CE" w:rsidRPr="00440300" w:rsidRDefault="00A975B5">
            <w:pPr>
              <w:pStyle w:val="TableParagraph"/>
              <w:spacing w:before="184"/>
              <w:ind w:right="197"/>
              <w:jc w:val="right"/>
              <w:rPr>
                <w:b/>
              </w:rPr>
            </w:pPr>
            <w:r>
              <w:rPr>
                <w:b/>
              </w:rPr>
              <w:t>53.067,20</w:t>
            </w:r>
          </w:p>
        </w:tc>
      </w:tr>
      <w:tr w:rsidR="002E36CE" w:rsidRPr="00440300">
        <w:trPr>
          <w:trHeight w:val="630"/>
        </w:trPr>
        <w:tc>
          <w:tcPr>
            <w:tcW w:w="5036" w:type="dxa"/>
          </w:tcPr>
          <w:p w:rsidR="002E36CE" w:rsidRPr="00440300" w:rsidRDefault="00A975B5">
            <w:pPr>
              <w:pStyle w:val="TableParagraph"/>
              <w:spacing w:before="186"/>
              <w:ind w:left="200"/>
              <w:rPr>
                <w:b/>
              </w:rPr>
            </w:pPr>
            <w:r>
              <w:rPr>
                <w:b/>
              </w:rPr>
              <w:t>TRIBUTOS</w:t>
            </w:r>
          </w:p>
        </w:tc>
        <w:tc>
          <w:tcPr>
            <w:tcW w:w="1644" w:type="dxa"/>
          </w:tcPr>
          <w:p w:rsidR="002E36CE" w:rsidRPr="00440300" w:rsidRDefault="00A975B5">
            <w:pPr>
              <w:pStyle w:val="TableParagraph"/>
              <w:spacing w:before="186"/>
              <w:ind w:right="198"/>
              <w:jc w:val="right"/>
              <w:rPr>
                <w:b/>
              </w:rPr>
            </w:pPr>
            <w:r>
              <w:rPr>
                <w:b/>
              </w:rPr>
              <w:t>131.044,71</w:t>
            </w:r>
          </w:p>
        </w:tc>
      </w:tr>
      <w:tr w:rsidR="002E36CE" w:rsidRPr="00440300">
        <w:trPr>
          <w:trHeight w:val="472"/>
        </w:trPr>
        <w:tc>
          <w:tcPr>
            <w:tcW w:w="5036" w:type="dxa"/>
          </w:tcPr>
          <w:p w:rsidR="002E36CE" w:rsidRPr="00440300" w:rsidRDefault="00A975B5">
            <w:pPr>
              <w:pStyle w:val="TableParagraph"/>
              <w:spacing w:before="184"/>
              <w:ind w:left="200"/>
              <w:rPr>
                <w:b/>
              </w:rPr>
            </w:pPr>
            <w:r>
              <w:rPr>
                <w:b/>
              </w:rPr>
              <w:t>OTROS SERVICIOS</w:t>
            </w:r>
          </w:p>
        </w:tc>
        <w:tc>
          <w:tcPr>
            <w:tcW w:w="1644" w:type="dxa"/>
          </w:tcPr>
          <w:p w:rsidR="002E36CE" w:rsidRPr="00440300" w:rsidRDefault="00A975B5">
            <w:pPr>
              <w:pStyle w:val="TableParagraph"/>
              <w:spacing w:before="184"/>
              <w:ind w:right="197"/>
              <w:jc w:val="right"/>
              <w:rPr>
                <w:b/>
              </w:rPr>
            </w:pPr>
            <w:r>
              <w:rPr>
                <w:b/>
              </w:rPr>
              <w:t>1.125.086,55</w:t>
            </w:r>
          </w:p>
        </w:tc>
      </w:tr>
      <w:tr w:rsidR="002E36CE" w:rsidRPr="00440300">
        <w:trPr>
          <w:trHeight w:val="315"/>
        </w:trPr>
        <w:tc>
          <w:tcPr>
            <w:tcW w:w="5036" w:type="dxa"/>
          </w:tcPr>
          <w:p w:rsidR="002E36CE" w:rsidRPr="00440300" w:rsidRDefault="00A975B5">
            <w:pPr>
              <w:pStyle w:val="TableParagraph"/>
              <w:spacing w:before="28"/>
              <w:ind w:left="200"/>
            </w:pPr>
            <w:r>
              <w:t>Cuota como socio de entidades</w:t>
            </w:r>
          </w:p>
        </w:tc>
        <w:tc>
          <w:tcPr>
            <w:tcW w:w="1644" w:type="dxa"/>
          </w:tcPr>
          <w:p w:rsidR="002E36CE" w:rsidRPr="00440300" w:rsidRDefault="00A975B5">
            <w:pPr>
              <w:pStyle w:val="TableParagraph"/>
              <w:spacing w:before="28"/>
              <w:ind w:right="197"/>
              <w:jc w:val="right"/>
            </w:pPr>
            <w:r>
              <w:t>10.000</w:t>
            </w:r>
          </w:p>
        </w:tc>
      </w:tr>
      <w:tr w:rsidR="002E36CE" w:rsidRPr="00440300">
        <w:trPr>
          <w:trHeight w:val="314"/>
        </w:trPr>
        <w:tc>
          <w:tcPr>
            <w:tcW w:w="5036" w:type="dxa"/>
          </w:tcPr>
          <w:p w:rsidR="002E36CE" w:rsidRPr="00440300" w:rsidRDefault="00A975B5">
            <w:pPr>
              <w:pStyle w:val="TableParagraph"/>
              <w:spacing w:before="27"/>
              <w:ind w:left="200"/>
            </w:pPr>
            <w:r>
              <w:t>Publicaciones</w:t>
            </w:r>
          </w:p>
        </w:tc>
        <w:tc>
          <w:tcPr>
            <w:tcW w:w="1644" w:type="dxa"/>
          </w:tcPr>
          <w:p w:rsidR="002E36CE" w:rsidRPr="00440300" w:rsidRDefault="00A975B5">
            <w:pPr>
              <w:pStyle w:val="TableParagraph"/>
              <w:spacing w:before="27"/>
              <w:ind w:right="199"/>
              <w:jc w:val="right"/>
            </w:pPr>
            <w:r>
              <w:t>209.256,09</w:t>
            </w:r>
          </w:p>
        </w:tc>
      </w:tr>
      <w:tr w:rsidR="002E36CE" w:rsidRPr="00440300">
        <w:trPr>
          <w:trHeight w:val="429"/>
        </w:trPr>
        <w:tc>
          <w:tcPr>
            <w:tcW w:w="5036" w:type="dxa"/>
          </w:tcPr>
          <w:p w:rsidR="002E36CE" w:rsidRPr="00440300" w:rsidRDefault="00A975B5">
            <w:pPr>
              <w:pStyle w:val="TableParagraph"/>
              <w:spacing w:before="27"/>
              <w:ind w:left="200"/>
            </w:pPr>
            <w:r>
              <w:t>Publicidad</w:t>
            </w:r>
          </w:p>
        </w:tc>
        <w:tc>
          <w:tcPr>
            <w:tcW w:w="1644" w:type="dxa"/>
          </w:tcPr>
          <w:p w:rsidR="002E36CE" w:rsidRPr="00440300" w:rsidRDefault="00A975B5">
            <w:pPr>
              <w:pStyle w:val="TableParagraph"/>
              <w:spacing w:before="27"/>
              <w:ind w:right="199"/>
              <w:jc w:val="right"/>
            </w:pPr>
            <w:r>
              <w:t>42.574,55</w:t>
            </w:r>
          </w:p>
        </w:tc>
      </w:tr>
      <w:tr w:rsidR="002E36CE" w:rsidRPr="00440300">
        <w:trPr>
          <w:trHeight w:val="544"/>
        </w:trPr>
        <w:tc>
          <w:tcPr>
            <w:tcW w:w="5036" w:type="dxa"/>
          </w:tcPr>
          <w:p w:rsidR="002E36CE" w:rsidRPr="00440300" w:rsidRDefault="00A975B5">
            <w:pPr>
              <w:pStyle w:val="TableParagraph"/>
              <w:spacing w:before="142"/>
              <w:ind w:left="200"/>
            </w:pPr>
            <w:r>
              <w:t>Atenciones y ayudas a actividades diversas</w:t>
            </w:r>
          </w:p>
        </w:tc>
        <w:tc>
          <w:tcPr>
            <w:tcW w:w="1644" w:type="dxa"/>
          </w:tcPr>
          <w:p w:rsidR="002E36CE" w:rsidRPr="00440300" w:rsidRDefault="00A975B5">
            <w:pPr>
              <w:pStyle w:val="TableParagraph"/>
              <w:spacing w:before="142"/>
              <w:ind w:right="198"/>
              <w:jc w:val="right"/>
            </w:pPr>
            <w:r>
              <w:t>820.028,56</w:t>
            </w:r>
          </w:p>
        </w:tc>
      </w:tr>
      <w:tr w:rsidR="002E36CE" w:rsidRPr="00440300">
        <w:trPr>
          <w:trHeight w:val="586"/>
        </w:trPr>
        <w:tc>
          <w:tcPr>
            <w:tcW w:w="5036" w:type="dxa"/>
          </w:tcPr>
          <w:p w:rsidR="002E36CE" w:rsidRPr="00440300" w:rsidRDefault="00A975B5">
            <w:pPr>
              <w:pStyle w:val="TableParagraph"/>
              <w:spacing w:before="142"/>
              <w:ind w:left="200"/>
            </w:pPr>
            <w:r>
              <w:t>Otros gastos de representación institucional</w:t>
            </w:r>
          </w:p>
        </w:tc>
        <w:tc>
          <w:tcPr>
            <w:tcW w:w="1644" w:type="dxa"/>
          </w:tcPr>
          <w:p w:rsidR="002E36CE" w:rsidRPr="00440300" w:rsidRDefault="00A975B5">
            <w:pPr>
              <w:pStyle w:val="TableParagraph"/>
              <w:spacing w:before="142"/>
              <w:ind w:right="197"/>
              <w:jc w:val="right"/>
            </w:pPr>
            <w:r>
              <w:t>43.227,35</w:t>
            </w:r>
          </w:p>
        </w:tc>
      </w:tr>
      <w:tr w:rsidR="002E36CE" w:rsidRPr="00440300">
        <w:trPr>
          <w:trHeight w:val="437"/>
        </w:trPr>
        <w:tc>
          <w:tcPr>
            <w:tcW w:w="5036" w:type="dxa"/>
          </w:tcPr>
          <w:p w:rsidR="002E36CE" w:rsidRPr="00440300" w:rsidRDefault="00A975B5">
            <w:pPr>
              <w:pStyle w:val="TableParagraph"/>
              <w:spacing w:before="184" w:line="233" w:lineRule="exact"/>
              <w:ind w:left="200"/>
              <w:rPr>
                <w:b/>
              </w:rPr>
            </w:pPr>
            <w:r>
              <w:rPr>
                <w:b/>
              </w:rPr>
              <w:t>TOTAL</w:t>
            </w:r>
          </w:p>
        </w:tc>
        <w:tc>
          <w:tcPr>
            <w:tcW w:w="1644" w:type="dxa"/>
          </w:tcPr>
          <w:p w:rsidR="002E36CE" w:rsidRPr="00440300" w:rsidRDefault="00A975B5">
            <w:pPr>
              <w:pStyle w:val="TableParagraph"/>
              <w:spacing w:before="184" w:line="233" w:lineRule="exact"/>
              <w:ind w:right="199"/>
              <w:jc w:val="right"/>
              <w:rPr>
                <w:b/>
              </w:rPr>
            </w:pPr>
            <w:r>
              <w:rPr>
                <w:b/>
              </w:rPr>
              <w:t>1.314.664,59</w:t>
            </w:r>
          </w:p>
        </w:tc>
      </w:tr>
    </w:tbl>
    <w:p w:rsidR="002E36CE" w:rsidRPr="00440300" w:rsidRDefault="002E36CE">
      <w:pPr>
        <w:spacing w:line="233" w:lineRule="exact"/>
        <w:jc w:val="right"/>
        <w:rPr>
          <w:lang w:val="ca-ES"/>
        </w:rPr>
        <w:sectPr w:rsidR="002E36CE" w:rsidRPr="00440300">
          <w:pgSz w:w="12240" w:h="15840"/>
          <w:pgMar w:top="1200" w:right="720" w:bottom="280" w:left="1580" w:header="720" w:footer="720" w:gutter="0"/>
          <w:cols w:space="720"/>
        </w:sectPr>
      </w:pPr>
    </w:p>
    <w:p w:rsidR="002E36CE" w:rsidRPr="00440300" w:rsidRDefault="002E36CE">
      <w:pPr>
        <w:pStyle w:val="Textoindependiente"/>
        <w:rPr>
          <w:sz w:val="20"/>
          <w:lang w:val="ca-ES"/>
        </w:rPr>
      </w:pPr>
    </w:p>
    <w:p w:rsidR="002E36CE" w:rsidRPr="00440300" w:rsidRDefault="002E36CE">
      <w:pPr>
        <w:pStyle w:val="Textoindependiente"/>
        <w:spacing w:before="7"/>
        <w:rPr>
          <w:sz w:val="26"/>
          <w:lang w:val="ca-ES"/>
        </w:rPr>
      </w:pPr>
    </w:p>
    <w:p w:rsidR="002E36CE" w:rsidRPr="00440300" w:rsidRDefault="00A975B5">
      <w:pPr>
        <w:pStyle w:val="Textoindependiente"/>
        <w:spacing w:before="112" w:line="259" w:lineRule="auto"/>
        <w:ind w:left="122" w:right="975"/>
        <w:jc w:val="both"/>
      </w:pPr>
      <w:r>
        <w:t>Los ingresos por importe de 4.492.000 euros corresponden, en su totalidad, a las aportaciones del patrocinador, S.A. Damm, que se destinan íntegramente al desarrollo de las actividades mencionadas en el objeto social de esta Fundación.</w:t>
      </w:r>
    </w:p>
    <w:p w:rsidR="002E36CE" w:rsidRPr="00440300" w:rsidRDefault="002E36CE">
      <w:pPr>
        <w:pStyle w:val="Textoindependiente"/>
        <w:spacing w:before="3"/>
        <w:rPr>
          <w:sz w:val="23"/>
          <w:lang w:val="ca-ES"/>
        </w:rPr>
      </w:pPr>
    </w:p>
    <w:p w:rsidR="002E36CE" w:rsidRPr="00440300" w:rsidRDefault="00A975B5">
      <w:pPr>
        <w:pStyle w:val="Textoindependiente"/>
        <w:spacing w:before="1"/>
        <w:ind w:left="122"/>
      </w:pPr>
      <w:r>
        <w:t>El resto de ingresos por importe de 277.289,51 euros corresponden a otros ingresos.</w:t>
      </w:r>
    </w:p>
    <w:p w:rsidR="002E36CE" w:rsidRPr="00440300" w:rsidRDefault="002E36CE">
      <w:pPr>
        <w:pStyle w:val="Textoindependiente"/>
        <w:rPr>
          <w:sz w:val="26"/>
          <w:lang w:val="ca-ES"/>
        </w:rPr>
      </w:pPr>
    </w:p>
    <w:p w:rsidR="002E36CE" w:rsidRPr="00440300" w:rsidRDefault="002E36CE">
      <w:pPr>
        <w:pStyle w:val="Textoindependiente"/>
        <w:spacing w:before="5"/>
        <w:rPr>
          <w:lang w:val="ca-ES"/>
        </w:rPr>
      </w:pPr>
    </w:p>
    <w:p w:rsidR="002E36CE" w:rsidRPr="00440300" w:rsidRDefault="00A975B5">
      <w:pPr>
        <w:pStyle w:val="Prrafodelista"/>
        <w:numPr>
          <w:ilvl w:val="0"/>
          <w:numId w:val="4"/>
        </w:numPr>
        <w:tabs>
          <w:tab w:val="left" w:pos="492"/>
        </w:tabs>
        <w:ind w:left="491" w:hanging="369"/>
        <w:rPr>
          <w:rFonts w:ascii="Lucida Sans" w:hAnsi="Lucida Sans"/>
          <w:b/>
        </w:rPr>
      </w:pPr>
      <w:r>
        <w:rPr>
          <w:rFonts w:ascii="Lucida Sans" w:hAnsi="Lucida Sans"/>
          <w:b/>
        </w:rPr>
        <w:t>Aplicación de elementos patrimoniales a fines propios</w:t>
      </w:r>
    </w:p>
    <w:p w:rsidR="002E36CE" w:rsidRPr="00440300" w:rsidRDefault="002E36CE">
      <w:pPr>
        <w:pStyle w:val="Textoindependiente"/>
        <w:rPr>
          <w:rFonts w:ascii="Lucida Sans"/>
          <w:b/>
          <w:sz w:val="25"/>
          <w:lang w:val="ca-ES"/>
        </w:rPr>
      </w:pPr>
    </w:p>
    <w:p w:rsidR="002E36CE" w:rsidRPr="00440300" w:rsidRDefault="00A975B5">
      <w:pPr>
        <w:pStyle w:val="Textoindependiente"/>
        <w:spacing w:line="259" w:lineRule="auto"/>
        <w:ind w:left="841" w:right="976" w:hanging="360"/>
        <w:jc w:val="both"/>
      </w:pPr>
      <w:r>
        <w:t>- La aportación dotacional se ha aplicado íntegramente en saldo de cuenta bancaria, dado que las ayudas de la Fundación son exclusivamente aportaciones dinerarias.</w:t>
      </w:r>
    </w:p>
    <w:p w:rsidR="002E36CE" w:rsidRPr="00440300" w:rsidRDefault="002E36CE">
      <w:pPr>
        <w:pStyle w:val="Textoindependiente"/>
        <w:spacing w:before="5"/>
        <w:rPr>
          <w:sz w:val="23"/>
          <w:lang w:val="ca-ES"/>
        </w:rPr>
      </w:pPr>
    </w:p>
    <w:p w:rsidR="002E36CE" w:rsidRPr="00440300" w:rsidRDefault="00A975B5">
      <w:pPr>
        <w:pStyle w:val="Textoindependiente"/>
        <w:ind w:left="841"/>
      </w:pPr>
      <w:r>
        <w:t>Detalle del importe destinado a las actividades fundacionales:</w:t>
      </w:r>
    </w:p>
    <w:p w:rsidR="002E36CE" w:rsidRPr="00440300" w:rsidRDefault="002E36CE">
      <w:pPr>
        <w:pStyle w:val="Textoindependiente"/>
        <w:spacing w:before="10"/>
        <w:rPr>
          <w:sz w:val="27"/>
          <w:lang w:val="ca-ES"/>
        </w:rPr>
      </w:pPr>
    </w:p>
    <w:tbl>
      <w:tblPr>
        <w:tblStyle w:val="TableNormal"/>
        <w:tblW w:w="0" w:type="auto"/>
        <w:tblInd w:w="642" w:type="dxa"/>
        <w:tblLayout w:type="fixed"/>
        <w:tblLook w:val="01E0" w:firstRow="1" w:lastRow="1" w:firstColumn="1" w:lastColumn="1" w:noHBand="0" w:noVBand="0"/>
      </w:tblPr>
      <w:tblGrid>
        <w:gridCol w:w="4207"/>
        <w:gridCol w:w="2148"/>
        <w:gridCol w:w="845"/>
      </w:tblGrid>
      <w:tr w:rsidR="002E36CE" w:rsidRPr="00440300">
        <w:trPr>
          <w:trHeight w:val="266"/>
        </w:trPr>
        <w:tc>
          <w:tcPr>
            <w:tcW w:w="4207" w:type="dxa"/>
          </w:tcPr>
          <w:p w:rsidR="002E36CE" w:rsidRPr="00440300" w:rsidRDefault="00A975B5">
            <w:pPr>
              <w:pStyle w:val="TableParagraph"/>
              <w:spacing w:line="246" w:lineRule="exact"/>
              <w:ind w:left="200"/>
            </w:pPr>
            <w:r>
              <w:t>GASTOS NECESARIOS</w:t>
            </w:r>
          </w:p>
        </w:tc>
        <w:tc>
          <w:tcPr>
            <w:tcW w:w="2148" w:type="dxa"/>
          </w:tcPr>
          <w:p w:rsidR="002E36CE" w:rsidRPr="00440300" w:rsidRDefault="00A975B5">
            <w:pPr>
              <w:pStyle w:val="TableParagraph"/>
              <w:spacing w:line="246" w:lineRule="exact"/>
              <w:ind w:right="69"/>
              <w:jc w:val="right"/>
            </w:pPr>
            <w:r>
              <w:t>2.045.082,15</w:t>
            </w:r>
          </w:p>
        </w:tc>
        <w:tc>
          <w:tcPr>
            <w:tcW w:w="845" w:type="dxa"/>
          </w:tcPr>
          <w:p w:rsidR="002E36CE" w:rsidRPr="00440300" w:rsidRDefault="00A975B5">
            <w:pPr>
              <w:pStyle w:val="TableParagraph"/>
              <w:spacing w:line="246" w:lineRule="exact"/>
              <w:ind w:left="67"/>
            </w:pPr>
            <w:r>
              <w:t>Euros</w:t>
            </w:r>
          </w:p>
        </w:tc>
      </w:tr>
      <w:tr w:rsidR="002E36CE" w:rsidRPr="00440300">
        <w:trPr>
          <w:trHeight w:val="427"/>
        </w:trPr>
        <w:tc>
          <w:tcPr>
            <w:tcW w:w="4207" w:type="dxa"/>
          </w:tcPr>
          <w:p w:rsidR="002E36CE" w:rsidRPr="00440300" w:rsidRDefault="00A975B5">
            <w:pPr>
              <w:pStyle w:val="TableParagraph"/>
              <w:spacing w:before="13"/>
              <w:ind w:left="200"/>
            </w:pPr>
            <w:r>
              <w:t>GASTOS FUNDACIONALES</w:t>
            </w:r>
          </w:p>
        </w:tc>
        <w:tc>
          <w:tcPr>
            <w:tcW w:w="2148" w:type="dxa"/>
          </w:tcPr>
          <w:p w:rsidR="002E36CE" w:rsidRPr="00440300" w:rsidRDefault="00A975B5">
            <w:pPr>
              <w:pStyle w:val="TableParagraph"/>
              <w:spacing w:before="13"/>
              <w:ind w:right="67"/>
              <w:jc w:val="right"/>
            </w:pPr>
            <w:r>
              <w:t>2.720.133,88</w:t>
            </w:r>
          </w:p>
        </w:tc>
        <w:tc>
          <w:tcPr>
            <w:tcW w:w="845" w:type="dxa"/>
          </w:tcPr>
          <w:p w:rsidR="002E36CE" w:rsidRPr="00440300" w:rsidRDefault="00A975B5">
            <w:pPr>
              <w:pStyle w:val="TableParagraph"/>
              <w:spacing w:before="13"/>
              <w:ind w:left="67"/>
            </w:pPr>
            <w:r>
              <w:t>Euros</w:t>
            </w:r>
          </w:p>
        </w:tc>
      </w:tr>
      <w:tr w:rsidR="002E36CE" w:rsidRPr="00440300">
        <w:trPr>
          <w:trHeight w:val="427"/>
        </w:trPr>
        <w:tc>
          <w:tcPr>
            <w:tcW w:w="4207" w:type="dxa"/>
          </w:tcPr>
          <w:p w:rsidR="002E36CE" w:rsidRPr="00440300" w:rsidRDefault="00A975B5">
            <w:pPr>
              <w:pStyle w:val="TableParagraph"/>
              <w:spacing w:before="154"/>
              <w:ind w:left="200"/>
            </w:pPr>
            <w:r>
              <w:t>INGRESOS PATROCINADORES</w:t>
            </w:r>
          </w:p>
        </w:tc>
        <w:tc>
          <w:tcPr>
            <w:tcW w:w="2148" w:type="dxa"/>
          </w:tcPr>
          <w:p w:rsidR="002E36CE" w:rsidRPr="00440300" w:rsidRDefault="00A975B5">
            <w:pPr>
              <w:pStyle w:val="TableParagraph"/>
              <w:spacing w:before="154"/>
              <w:ind w:right="67"/>
              <w:jc w:val="right"/>
            </w:pPr>
            <w:r>
              <w:t>4.492.000,00</w:t>
            </w:r>
          </w:p>
        </w:tc>
        <w:tc>
          <w:tcPr>
            <w:tcW w:w="845" w:type="dxa"/>
          </w:tcPr>
          <w:p w:rsidR="002E36CE" w:rsidRPr="00440300" w:rsidRDefault="00A975B5">
            <w:pPr>
              <w:pStyle w:val="TableParagraph"/>
              <w:spacing w:before="154"/>
              <w:ind w:left="67"/>
            </w:pPr>
            <w:r>
              <w:t>Euros</w:t>
            </w:r>
          </w:p>
        </w:tc>
      </w:tr>
      <w:tr w:rsidR="002E36CE" w:rsidRPr="00440300">
        <w:trPr>
          <w:trHeight w:val="285"/>
        </w:trPr>
        <w:tc>
          <w:tcPr>
            <w:tcW w:w="4207" w:type="dxa"/>
          </w:tcPr>
          <w:p w:rsidR="002E36CE" w:rsidRPr="00440300" w:rsidRDefault="00A975B5">
            <w:pPr>
              <w:pStyle w:val="TableParagraph"/>
              <w:spacing w:before="13" w:line="253" w:lineRule="exact"/>
              <w:ind w:left="200"/>
            </w:pPr>
            <w:r>
              <w:t>OTROS INGRESOS</w:t>
            </w:r>
          </w:p>
        </w:tc>
        <w:tc>
          <w:tcPr>
            <w:tcW w:w="2148" w:type="dxa"/>
          </w:tcPr>
          <w:p w:rsidR="002E36CE" w:rsidRPr="00440300" w:rsidRDefault="00A975B5">
            <w:pPr>
              <w:pStyle w:val="TableParagraph"/>
              <w:spacing w:before="13" w:line="253" w:lineRule="exact"/>
              <w:ind w:right="67"/>
              <w:jc w:val="right"/>
            </w:pPr>
            <w:r>
              <w:t>277.289,51</w:t>
            </w:r>
          </w:p>
        </w:tc>
        <w:tc>
          <w:tcPr>
            <w:tcW w:w="845" w:type="dxa"/>
          </w:tcPr>
          <w:p w:rsidR="002E36CE" w:rsidRPr="00440300" w:rsidRDefault="00A975B5">
            <w:pPr>
              <w:pStyle w:val="TableParagraph"/>
              <w:spacing w:before="13" w:line="253" w:lineRule="exact"/>
              <w:ind w:left="67"/>
            </w:pPr>
            <w:r>
              <w:t>Euros</w:t>
            </w:r>
          </w:p>
        </w:tc>
      </w:tr>
      <w:tr w:rsidR="002E36CE" w:rsidRPr="00440300">
        <w:trPr>
          <w:trHeight w:val="285"/>
        </w:trPr>
        <w:tc>
          <w:tcPr>
            <w:tcW w:w="4207" w:type="dxa"/>
          </w:tcPr>
          <w:p w:rsidR="002E36CE" w:rsidRPr="00440300" w:rsidRDefault="00A975B5">
            <w:pPr>
              <w:pStyle w:val="TableParagraph"/>
              <w:spacing w:before="13" w:line="253" w:lineRule="exact"/>
              <w:ind w:left="200"/>
            </w:pPr>
            <w:r>
              <w:t>-GASTOS NECESARIOS</w:t>
            </w:r>
          </w:p>
        </w:tc>
        <w:tc>
          <w:tcPr>
            <w:tcW w:w="2148" w:type="dxa"/>
          </w:tcPr>
          <w:p w:rsidR="002E36CE" w:rsidRPr="00440300" w:rsidRDefault="00A975B5">
            <w:pPr>
              <w:pStyle w:val="TableParagraph"/>
              <w:spacing w:before="13" w:line="253" w:lineRule="exact"/>
              <w:ind w:right="69"/>
              <w:jc w:val="right"/>
            </w:pPr>
            <w:r>
              <w:t>-2.045.082,15</w:t>
            </w:r>
          </w:p>
        </w:tc>
        <w:tc>
          <w:tcPr>
            <w:tcW w:w="845" w:type="dxa"/>
          </w:tcPr>
          <w:p w:rsidR="002E36CE" w:rsidRPr="00440300" w:rsidRDefault="00A975B5">
            <w:pPr>
              <w:pStyle w:val="TableParagraph"/>
              <w:spacing w:before="13" w:line="253" w:lineRule="exact"/>
              <w:ind w:left="67"/>
            </w:pPr>
            <w:r>
              <w:t>Euros</w:t>
            </w:r>
          </w:p>
        </w:tc>
      </w:tr>
      <w:tr w:rsidR="002E36CE" w:rsidRPr="00440300">
        <w:trPr>
          <w:trHeight w:val="284"/>
        </w:trPr>
        <w:tc>
          <w:tcPr>
            <w:tcW w:w="4207" w:type="dxa"/>
          </w:tcPr>
          <w:p w:rsidR="002E36CE" w:rsidRPr="00440300" w:rsidRDefault="00A975B5">
            <w:pPr>
              <w:pStyle w:val="TableParagraph"/>
              <w:spacing w:before="13" w:line="251" w:lineRule="exact"/>
              <w:ind w:left="200"/>
            </w:pPr>
            <w:r>
              <w:t>INGRESOS NETOS</w:t>
            </w:r>
          </w:p>
        </w:tc>
        <w:tc>
          <w:tcPr>
            <w:tcW w:w="2148" w:type="dxa"/>
          </w:tcPr>
          <w:p w:rsidR="002E36CE" w:rsidRPr="00440300" w:rsidRDefault="00A975B5">
            <w:pPr>
              <w:pStyle w:val="TableParagraph"/>
              <w:spacing w:before="13" w:line="251" w:lineRule="exact"/>
              <w:ind w:right="67"/>
              <w:jc w:val="right"/>
            </w:pPr>
            <w:r>
              <w:t>2.724.207,36</w:t>
            </w:r>
          </w:p>
        </w:tc>
        <w:tc>
          <w:tcPr>
            <w:tcW w:w="845" w:type="dxa"/>
          </w:tcPr>
          <w:p w:rsidR="002E36CE" w:rsidRPr="00440300" w:rsidRDefault="00A975B5">
            <w:pPr>
              <w:pStyle w:val="TableParagraph"/>
              <w:spacing w:before="13" w:line="251" w:lineRule="exact"/>
              <w:ind w:left="67"/>
            </w:pPr>
            <w:r>
              <w:t>Euros</w:t>
            </w:r>
          </w:p>
        </w:tc>
      </w:tr>
      <w:tr w:rsidR="002E36CE" w:rsidRPr="00440300">
        <w:trPr>
          <w:trHeight w:val="284"/>
        </w:trPr>
        <w:tc>
          <w:tcPr>
            <w:tcW w:w="4207" w:type="dxa"/>
          </w:tcPr>
          <w:p w:rsidR="002E36CE" w:rsidRPr="00440300" w:rsidRDefault="00A975B5">
            <w:pPr>
              <w:pStyle w:val="TableParagraph"/>
              <w:spacing w:before="11" w:line="253" w:lineRule="exact"/>
              <w:ind w:left="200"/>
            </w:pPr>
            <w:r>
              <w:t>GASTOS FUNDACIONALES</w:t>
            </w:r>
          </w:p>
        </w:tc>
        <w:tc>
          <w:tcPr>
            <w:tcW w:w="2148" w:type="dxa"/>
          </w:tcPr>
          <w:p w:rsidR="002E36CE" w:rsidRPr="00440300" w:rsidRDefault="00A975B5">
            <w:pPr>
              <w:pStyle w:val="TableParagraph"/>
              <w:spacing w:before="11" w:line="253" w:lineRule="exact"/>
              <w:ind w:right="68"/>
              <w:jc w:val="right"/>
            </w:pPr>
            <w:r>
              <w:t>-2.720.133,88</w:t>
            </w:r>
          </w:p>
        </w:tc>
        <w:tc>
          <w:tcPr>
            <w:tcW w:w="845" w:type="dxa"/>
          </w:tcPr>
          <w:p w:rsidR="002E36CE" w:rsidRPr="00440300" w:rsidRDefault="00A975B5">
            <w:pPr>
              <w:pStyle w:val="TableParagraph"/>
              <w:spacing w:before="11" w:line="253" w:lineRule="exact"/>
              <w:ind w:left="67"/>
            </w:pPr>
            <w:r>
              <w:t>Euros</w:t>
            </w:r>
          </w:p>
        </w:tc>
      </w:tr>
      <w:tr w:rsidR="002E36CE" w:rsidRPr="00440300">
        <w:trPr>
          <w:trHeight w:val="266"/>
        </w:trPr>
        <w:tc>
          <w:tcPr>
            <w:tcW w:w="4207" w:type="dxa"/>
          </w:tcPr>
          <w:p w:rsidR="002E36CE" w:rsidRPr="00440300" w:rsidRDefault="00A975B5">
            <w:pPr>
              <w:pStyle w:val="TableParagraph"/>
              <w:spacing w:before="13" w:line="233" w:lineRule="exact"/>
              <w:ind w:left="200"/>
            </w:pPr>
            <w:r>
              <w:t>% RESULTANTE</w:t>
            </w:r>
          </w:p>
        </w:tc>
        <w:tc>
          <w:tcPr>
            <w:tcW w:w="2148" w:type="dxa"/>
          </w:tcPr>
          <w:p w:rsidR="002E36CE" w:rsidRPr="00440300" w:rsidRDefault="00A975B5">
            <w:pPr>
              <w:pStyle w:val="TableParagraph"/>
              <w:spacing w:before="13" w:line="233" w:lineRule="exact"/>
              <w:ind w:right="70"/>
              <w:jc w:val="right"/>
            </w:pPr>
            <w:r>
              <w:t>100</w:t>
            </w:r>
          </w:p>
        </w:tc>
        <w:tc>
          <w:tcPr>
            <w:tcW w:w="845" w:type="dxa"/>
          </w:tcPr>
          <w:p w:rsidR="002E36CE" w:rsidRPr="00440300" w:rsidRDefault="00A975B5">
            <w:pPr>
              <w:pStyle w:val="TableParagraph"/>
              <w:spacing w:before="13" w:line="233" w:lineRule="exact"/>
              <w:ind w:left="67"/>
            </w:pPr>
            <w:r>
              <w:t>%</w:t>
            </w:r>
          </w:p>
        </w:tc>
      </w:tr>
    </w:tbl>
    <w:p w:rsidR="002E36CE" w:rsidRPr="00440300" w:rsidRDefault="002E36CE">
      <w:pPr>
        <w:pStyle w:val="Textoindependiente"/>
        <w:rPr>
          <w:sz w:val="26"/>
          <w:lang w:val="ca-ES"/>
        </w:rPr>
      </w:pPr>
    </w:p>
    <w:p w:rsidR="002E36CE" w:rsidRPr="00440300" w:rsidRDefault="002E36CE">
      <w:pPr>
        <w:pStyle w:val="Textoindependiente"/>
        <w:spacing w:before="7"/>
        <w:rPr>
          <w:sz w:val="21"/>
          <w:lang w:val="ca-ES"/>
        </w:rPr>
      </w:pPr>
    </w:p>
    <w:p w:rsidR="002E36CE" w:rsidRPr="00440300" w:rsidRDefault="00A975B5">
      <w:pPr>
        <w:pStyle w:val="Prrafodelista"/>
        <w:numPr>
          <w:ilvl w:val="0"/>
          <w:numId w:val="4"/>
        </w:numPr>
        <w:tabs>
          <w:tab w:val="left" w:pos="490"/>
        </w:tabs>
        <w:ind w:left="489" w:hanging="367"/>
        <w:rPr>
          <w:rFonts w:ascii="Lucida Sans"/>
          <w:b/>
        </w:rPr>
      </w:pPr>
      <w:r>
        <w:rPr>
          <w:rFonts w:ascii="Lucida Sans"/>
          <w:b/>
        </w:rPr>
        <w:t>Operaciones y saldos con partes vinculadas</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9" w:lineRule="auto"/>
        <w:ind w:left="122" w:right="834"/>
      </w:pPr>
      <w:r>
        <w:t>El detalle de operaciones realizadas con partes vinculadas durante el ejercicio 2018 y 2017 es el siguiente:</w:t>
      </w:r>
    </w:p>
    <w:p w:rsidR="002E36CE" w:rsidRPr="00440300" w:rsidRDefault="002E36CE">
      <w:pPr>
        <w:pStyle w:val="Textoindependiente"/>
        <w:rPr>
          <w:sz w:val="20"/>
          <w:lang w:val="ca-ES"/>
        </w:rPr>
      </w:pPr>
    </w:p>
    <w:p w:rsidR="002E36CE" w:rsidRPr="00440300" w:rsidRDefault="002E36CE">
      <w:pPr>
        <w:pStyle w:val="Textoindependiente"/>
        <w:spacing w:before="8"/>
        <w:rPr>
          <w:sz w:val="23"/>
          <w:lang w:val="ca-ES"/>
        </w:rPr>
      </w:pPr>
    </w:p>
    <w:tbl>
      <w:tblPr>
        <w:tblStyle w:val="TableNormal"/>
        <w:tblW w:w="0" w:type="auto"/>
        <w:tblInd w:w="16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41"/>
        <w:gridCol w:w="1356"/>
        <w:gridCol w:w="1441"/>
      </w:tblGrid>
      <w:tr w:rsidR="002E36CE" w:rsidRPr="00440300" w:rsidTr="006D2303">
        <w:trPr>
          <w:trHeight w:val="736"/>
        </w:trPr>
        <w:tc>
          <w:tcPr>
            <w:tcW w:w="3241" w:type="dxa"/>
            <w:tcBorders>
              <w:bottom w:val="single" w:sz="4" w:space="0" w:color="000000"/>
            </w:tcBorders>
          </w:tcPr>
          <w:p w:rsidR="002E36CE" w:rsidRPr="00440300" w:rsidRDefault="002E36CE">
            <w:pPr>
              <w:pStyle w:val="TableParagraph"/>
              <w:rPr>
                <w:sz w:val="24"/>
                <w:lang w:val="ca-ES"/>
              </w:rPr>
            </w:pPr>
          </w:p>
          <w:p w:rsidR="002E36CE" w:rsidRPr="00440300" w:rsidRDefault="002E36CE">
            <w:pPr>
              <w:pStyle w:val="TableParagraph"/>
              <w:spacing w:before="4"/>
              <w:rPr>
                <w:sz w:val="19"/>
                <w:lang w:val="ca-ES"/>
              </w:rPr>
            </w:pPr>
          </w:p>
          <w:p w:rsidR="002E36CE" w:rsidRPr="00440300" w:rsidRDefault="00A975B5">
            <w:pPr>
              <w:pStyle w:val="TableParagraph"/>
              <w:spacing w:line="218" w:lineRule="exact"/>
              <w:ind w:left="40"/>
              <w:rPr>
                <w:sz w:val="20"/>
              </w:rPr>
            </w:pPr>
            <w:r>
              <w:rPr>
                <w:sz w:val="20"/>
              </w:rPr>
              <w:t>Operaciones con partes vinculadas</w:t>
            </w:r>
          </w:p>
        </w:tc>
        <w:tc>
          <w:tcPr>
            <w:tcW w:w="1356" w:type="dxa"/>
            <w:tcBorders>
              <w:bottom w:val="single" w:sz="4" w:space="0" w:color="000000"/>
            </w:tcBorders>
          </w:tcPr>
          <w:p w:rsidR="002E36CE" w:rsidRPr="00440300" w:rsidRDefault="002E36CE">
            <w:pPr>
              <w:pStyle w:val="TableParagraph"/>
              <w:rPr>
                <w:sz w:val="24"/>
                <w:lang w:val="ca-ES"/>
              </w:rPr>
            </w:pPr>
          </w:p>
          <w:p w:rsidR="002E36CE" w:rsidRPr="00440300" w:rsidRDefault="002E36CE">
            <w:pPr>
              <w:pStyle w:val="TableParagraph"/>
              <w:spacing w:before="4"/>
              <w:rPr>
                <w:sz w:val="19"/>
                <w:lang w:val="ca-ES"/>
              </w:rPr>
            </w:pPr>
          </w:p>
          <w:p w:rsidR="002E36CE" w:rsidRPr="00440300" w:rsidRDefault="00A975B5">
            <w:pPr>
              <w:pStyle w:val="TableParagraph"/>
              <w:spacing w:line="218" w:lineRule="exact"/>
              <w:ind w:left="453"/>
              <w:rPr>
                <w:sz w:val="20"/>
              </w:rPr>
            </w:pPr>
            <w:r>
              <w:rPr>
                <w:sz w:val="20"/>
              </w:rPr>
              <w:t>2018</w:t>
            </w:r>
          </w:p>
        </w:tc>
        <w:tc>
          <w:tcPr>
            <w:tcW w:w="1441" w:type="dxa"/>
            <w:tcBorders>
              <w:bottom w:val="single" w:sz="4" w:space="0" w:color="000000"/>
            </w:tcBorders>
          </w:tcPr>
          <w:p w:rsidR="002E36CE" w:rsidRPr="00440300" w:rsidRDefault="002E36CE">
            <w:pPr>
              <w:pStyle w:val="TableParagraph"/>
              <w:rPr>
                <w:sz w:val="24"/>
                <w:lang w:val="ca-ES"/>
              </w:rPr>
            </w:pPr>
          </w:p>
          <w:p w:rsidR="002E36CE" w:rsidRPr="00440300" w:rsidRDefault="002E36CE">
            <w:pPr>
              <w:pStyle w:val="TableParagraph"/>
              <w:spacing w:before="4"/>
              <w:rPr>
                <w:sz w:val="19"/>
                <w:lang w:val="ca-ES"/>
              </w:rPr>
            </w:pPr>
          </w:p>
          <w:p w:rsidR="002E36CE" w:rsidRPr="00440300" w:rsidRDefault="00A975B5">
            <w:pPr>
              <w:pStyle w:val="TableParagraph"/>
              <w:spacing w:line="218" w:lineRule="exact"/>
              <w:ind w:left="18" w:right="8"/>
              <w:jc w:val="center"/>
              <w:rPr>
                <w:sz w:val="20"/>
              </w:rPr>
            </w:pPr>
            <w:r>
              <w:rPr>
                <w:sz w:val="20"/>
              </w:rPr>
              <w:t>2017</w:t>
            </w:r>
          </w:p>
        </w:tc>
      </w:tr>
      <w:tr w:rsidR="002E36CE" w:rsidRPr="00440300" w:rsidTr="006D2303">
        <w:trPr>
          <w:trHeight w:val="489"/>
        </w:trPr>
        <w:tc>
          <w:tcPr>
            <w:tcW w:w="3241" w:type="dxa"/>
            <w:tcBorders>
              <w:top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20" w:lineRule="exact"/>
              <w:ind w:left="40"/>
              <w:rPr>
                <w:sz w:val="20"/>
              </w:rPr>
            </w:pPr>
            <w:r>
              <w:rPr>
                <w:sz w:val="20"/>
              </w:rPr>
              <w:t>Aportaciones S.A. Damm</w:t>
            </w:r>
          </w:p>
        </w:tc>
        <w:tc>
          <w:tcPr>
            <w:tcW w:w="1356" w:type="dxa"/>
            <w:tcBorders>
              <w:top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20" w:lineRule="exact"/>
              <w:ind w:right="29"/>
              <w:jc w:val="right"/>
              <w:rPr>
                <w:sz w:val="20"/>
              </w:rPr>
            </w:pPr>
            <w:r>
              <w:rPr>
                <w:sz w:val="20"/>
              </w:rPr>
              <w:t>4.492.000,00</w:t>
            </w:r>
          </w:p>
        </w:tc>
        <w:tc>
          <w:tcPr>
            <w:tcW w:w="1441" w:type="dxa"/>
            <w:tcBorders>
              <w:top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20" w:lineRule="exact"/>
              <w:ind w:left="18" w:right="8"/>
              <w:jc w:val="center"/>
              <w:rPr>
                <w:sz w:val="20"/>
              </w:rPr>
            </w:pPr>
            <w:r>
              <w:rPr>
                <w:sz w:val="20"/>
              </w:rPr>
              <w:t>4.011.000,00</w:t>
            </w:r>
          </w:p>
        </w:tc>
      </w:tr>
      <w:tr w:rsidR="002E36CE" w:rsidRPr="00440300" w:rsidTr="006D2303">
        <w:trPr>
          <w:trHeight w:val="486"/>
        </w:trPr>
        <w:tc>
          <w:tcPr>
            <w:tcW w:w="3241" w:type="dxa"/>
            <w:tcBorders>
              <w:top w:val="single" w:sz="4" w:space="0" w:color="000000"/>
              <w:left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18" w:lineRule="exact"/>
              <w:ind w:left="43"/>
              <w:rPr>
                <w:sz w:val="20"/>
              </w:rPr>
            </w:pPr>
            <w:r>
              <w:rPr>
                <w:sz w:val="20"/>
              </w:rPr>
              <w:t>Patrocinio S.A. Damm</w:t>
            </w:r>
          </w:p>
        </w:tc>
        <w:tc>
          <w:tcPr>
            <w:tcW w:w="1356" w:type="dxa"/>
            <w:tcBorders>
              <w:top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18" w:lineRule="exact"/>
              <w:ind w:right="29"/>
              <w:jc w:val="right"/>
              <w:rPr>
                <w:sz w:val="20"/>
              </w:rPr>
            </w:pPr>
            <w:r>
              <w:rPr>
                <w:sz w:val="20"/>
              </w:rPr>
              <w:t>221.548,04</w:t>
            </w:r>
          </w:p>
        </w:tc>
        <w:tc>
          <w:tcPr>
            <w:tcW w:w="1441" w:type="dxa"/>
            <w:tcBorders>
              <w:top w:val="single" w:sz="4" w:space="0" w:color="000000"/>
              <w:bottom w:val="single" w:sz="4" w:space="0" w:color="000000"/>
            </w:tcBorders>
          </w:tcPr>
          <w:p w:rsidR="002E36CE" w:rsidRPr="00440300" w:rsidRDefault="002E36CE">
            <w:pPr>
              <w:pStyle w:val="TableParagraph"/>
              <w:spacing w:before="7"/>
              <w:rPr>
                <w:sz w:val="21"/>
                <w:lang w:val="ca-ES"/>
              </w:rPr>
            </w:pPr>
          </w:p>
          <w:p w:rsidR="002E36CE" w:rsidRPr="00440300" w:rsidRDefault="00A975B5">
            <w:pPr>
              <w:pStyle w:val="TableParagraph"/>
              <w:spacing w:line="218" w:lineRule="exact"/>
              <w:ind w:left="18" w:right="8"/>
              <w:jc w:val="center"/>
              <w:rPr>
                <w:sz w:val="20"/>
              </w:rPr>
            </w:pPr>
            <w:r>
              <w:rPr>
                <w:sz w:val="20"/>
              </w:rPr>
              <w:t>--</w:t>
            </w:r>
          </w:p>
        </w:tc>
      </w:tr>
      <w:tr w:rsidR="002E36CE" w:rsidRPr="00440300" w:rsidTr="006D2303">
        <w:trPr>
          <w:trHeight w:val="604"/>
        </w:trPr>
        <w:tc>
          <w:tcPr>
            <w:tcW w:w="3241" w:type="dxa"/>
            <w:tcBorders>
              <w:top w:val="single" w:sz="4" w:space="0" w:color="000000"/>
              <w:left w:val="single" w:sz="4" w:space="0" w:color="000000"/>
              <w:bottom w:val="single" w:sz="4" w:space="0" w:color="000000"/>
            </w:tcBorders>
          </w:tcPr>
          <w:p w:rsidR="002E36CE" w:rsidRPr="00440300" w:rsidRDefault="002E36CE">
            <w:pPr>
              <w:pStyle w:val="TableParagraph"/>
              <w:rPr>
                <w:sz w:val="21"/>
                <w:lang w:val="ca-ES"/>
              </w:rPr>
            </w:pPr>
          </w:p>
          <w:p w:rsidR="002E36CE" w:rsidRPr="00440300" w:rsidRDefault="00A975B5">
            <w:pPr>
              <w:pStyle w:val="TableParagraph"/>
              <w:ind w:left="43"/>
              <w:rPr>
                <w:rFonts w:ascii="Lucida Sans"/>
                <w:b/>
                <w:sz w:val="20"/>
              </w:rPr>
            </w:pPr>
            <w:r>
              <w:rPr>
                <w:rFonts w:ascii="Lucida Sans"/>
                <w:b/>
                <w:sz w:val="20"/>
              </w:rPr>
              <w:t>Total</w:t>
            </w:r>
          </w:p>
        </w:tc>
        <w:tc>
          <w:tcPr>
            <w:tcW w:w="1356" w:type="dxa"/>
            <w:tcBorders>
              <w:top w:val="single" w:sz="4" w:space="0" w:color="000000"/>
              <w:bottom w:val="single" w:sz="4" w:space="0" w:color="000000"/>
            </w:tcBorders>
          </w:tcPr>
          <w:p w:rsidR="002E36CE" w:rsidRPr="00440300" w:rsidRDefault="002E36CE">
            <w:pPr>
              <w:pStyle w:val="TableParagraph"/>
              <w:rPr>
                <w:sz w:val="21"/>
                <w:lang w:val="ca-ES"/>
              </w:rPr>
            </w:pPr>
          </w:p>
          <w:p w:rsidR="002E36CE" w:rsidRPr="00440300" w:rsidRDefault="00A975B5">
            <w:pPr>
              <w:pStyle w:val="TableParagraph"/>
              <w:ind w:right="29"/>
              <w:jc w:val="right"/>
              <w:rPr>
                <w:rFonts w:ascii="Lucida Sans"/>
                <w:b/>
                <w:sz w:val="20"/>
              </w:rPr>
            </w:pPr>
            <w:r>
              <w:rPr>
                <w:rFonts w:ascii="Lucida Sans"/>
                <w:b/>
                <w:sz w:val="20"/>
              </w:rPr>
              <w:t>4.713.548,04</w:t>
            </w:r>
          </w:p>
        </w:tc>
        <w:tc>
          <w:tcPr>
            <w:tcW w:w="1441" w:type="dxa"/>
            <w:tcBorders>
              <w:top w:val="single" w:sz="4" w:space="0" w:color="000000"/>
              <w:bottom w:val="single" w:sz="4" w:space="0" w:color="000000"/>
            </w:tcBorders>
          </w:tcPr>
          <w:p w:rsidR="002E36CE" w:rsidRPr="00440300" w:rsidRDefault="002E36CE">
            <w:pPr>
              <w:pStyle w:val="TableParagraph"/>
              <w:rPr>
                <w:sz w:val="21"/>
                <w:lang w:val="ca-ES"/>
              </w:rPr>
            </w:pPr>
          </w:p>
          <w:p w:rsidR="002E36CE" w:rsidRPr="00440300" w:rsidRDefault="00A975B5">
            <w:pPr>
              <w:pStyle w:val="TableParagraph"/>
              <w:ind w:left="20" w:right="8"/>
              <w:jc w:val="center"/>
              <w:rPr>
                <w:rFonts w:ascii="Lucida Sans"/>
                <w:b/>
                <w:sz w:val="20"/>
              </w:rPr>
            </w:pPr>
            <w:r>
              <w:rPr>
                <w:rFonts w:ascii="Lucida Sans"/>
                <w:b/>
                <w:sz w:val="20"/>
              </w:rPr>
              <w:t>4.011.000,00</w:t>
            </w:r>
          </w:p>
        </w:tc>
      </w:tr>
    </w:tbl>
    <w:p w:rsidR="002E36CE" w:rsidRPr="00440300" w:rsidRDefault="002E36CE">
      <w:pPr>
        <w:jc w:val="center"/>
        <w:rPr>
          <w:rFonts w:ascii="Lucida Sans"/>
          <w:sz w:val="20"/>
          <w:lang w:val="ca-ES"/>
        </w:rPr>
        <w:sectPr w:rsidR="002E36CE" w:rsidRPr="00440300">
          <w:pgSz w:w="12240" w:h="15840"/>
          <w:pgMar w:top="1500" w:right="720" w:bottom="280" w:left="1580" w:header="720" w:footer="720" w:gutter="0"/>
          <w:cols w:space="720"/>
        </w:sectPr>
      </w:pPr>
    </w:p>
    <w:p w:rsidR="002E36CE" w:rsidRPr="00440300" w:rsidRDefault="00A975B5">
      <w:pPr>
        <w:pStyle w:val="Textoindependiente"/>
        <w:spacing w:before="86" w:line="259" w:lineRule="auto"/>
        <w:ind w:left="122" w:right="834"/>
      </w:pPr>
      <w:r>
        <w:lastRenderedPageBreak/>
        <w:t>El importe de los saldos en balance con partes vinculadas a 31 de diciembre de 2018 y 2017 es el siguiente:</w:t>
      </w:r>
    </w:p>
    <w:p w:rsidR="002E36CE" w:rsidRPr="00440300" w:rsidRDefault="002E36CE">
      <w:pPr>
        <w:pStyle w:val="Textoindependiente"/>
        <w:spacing w:before="7"/>
        <w:rPr>
          <w:lang w:val="ca-ES"/>
        </w:rPr>
      </w:pPr>
    </w:p>
    <w:tbl>
      <w:tblPr>
        <w:tblStyle w:val="TableNormal"/>
        <w:tblW w:w="0" w:type="auto"/>
        <w:tblInd w:w="1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27"/>
        <w:gridCol w:w="1416"/>
        <w:gridCol w:w="1421"/>
      </w:tblGrid>
      <w:tr w:rsidR="002E36CE" w:rsidRPr="00440300">
        <w:trPr>
          <w:trHeight w:val="496"/>
        </w:trPr>
        <w:tc>
          <w:tcPr>
            <w:tcW w:w="3927" w:type="dxa"/>
            <w:tcBorders>
              <w:right w:val="single" w:sz="6" w:space="0" w:color="000000"/>
            </w:tcBorders>
          </w:tcPr>
          <w:p w:rsidR="002E36CE" w:rsidRPr="00440300" w:rsidRDefault="002E36CE">
            <w:pPr>
              <w:pStyle w:val="TableParagraph"/>
              <w:spacing w:before="5"/>
              <w:rPr>
                <w:lang w:val="ca-ES"/>
              </w:rPr>
            </w:pPr>
          </w:p>
          <w:p w:rsidR="002E36CE" w:rsidRPr="00440300" w:rsidRDefault="00A975B5">
            <w:pPr>
              <w:pStyle w:val="TableParagraph"/>
              <w:spacing w:line="218" w:lineRule="exact"/>
              <w:ind w:left="43"/>
              <w:rPr>
                <w:sz w:val="20"/>
              </w:rPr>
            </w:pPr>
            <w:r>
              <w:rPr>
                <w:sz w:val="20"/>
              </w:rPr>
              <w:t>Saldos con partes vinculadas</w:t>
            </w:r>
          </w:p>
        </w:tc>
        <w:tc>
          <w:tcPr>
            <w:tcW w:w="1416" w:type="dxa"/>
            <w:tcBorders>
              <w:left w:val="single" w:sz="6" w:space="0" w:color="000000"/>
              <w:right w:val="single" w:sz="6" w:space="0" w:color="000000"/>
            </w:tcBorders>
          </w:tcPr>
          <w:p w:rsidR="002E36CE" w:rsidRPr="00440300" w:rsidRDefault="002E36CE">
            <w:pPr>
              <w:pStyle w:val="TableParagraph"/>
              <w:spacing w:before="5"/>
              <w:rPr>
                <w:lang w:val="ca-ES"/>
              </w:rPr>
            </w:pPr>
          </w:p>
          <w:p w:rsidR="002E36CE" w:rsidRPr="00440300" w:rsidRDefault="00A975B5">
            <w:pPr>
              <w:pStyle w:val="TableParagraph"/>
              <w:spacing w:line="218" w:lineRule="exact"/>
              <w:ind w:left="463" w:right="453"/>
              <w:jc w:val="center"/>
              <w:rPr>
                <w:sz w:val="20"/>
              </w:rPr>
            </w:pPr>
            <w:r>
              <w:rPr>
                <w:sz w:val="20"/>
              </w:rPr>
              <w:t>2018</w:t>
            </w:r>
          </w:p>
        </w:tc>
        <w:tc>
          <w:tcPr>
            <w:tcW w:w="1421" w:type="dxa"/>
            <w:tcBorders>
              <w:left w:val="single" w:sz="6" w:space="0" w:color="000000"/>
              <w:right w:val="single" w:sz="6" w:space="0" w:color="000000"/>
            </w:tcBorders>
          </w:tcPr>
          <w:p w:rsidR="002E36CE" w:rsidRPr="00440300" w:rsidRDefault="002E36CE">
            <w:pPr>
              <w:pStyle w:val="TableParagraph"/>
              <w:spacing w:before="5"/>
              <w:rPr>
                <w:lang w:val="ca-ES"/>
              </w:rPr>
            </w:pPr>
          </w:p>
          <w:p w:rsidR="002E36CE" w:rsidRPr="00440300" w:rsidRDefault="00A975B5">
            <w:pPr>
              <w:pStyle w:val="TableParagraph"/>
              <w:spacing w:line="218" w:lineRule="exact"/>
              <w:ind w:left="466" w:right="455"/>
              <w:jc w:val="center"/>
              <w:rPr>
                <w:sz w:val="20"/>
              </w:rPr>
            </w:pPr>
            <w:r>
              <w:rPr>
                <w:sz w:val="20"/>
              </w:rPr>
              <w:t>2017</w:t>
            </w:r>
          </w:p>
        </w:tc>
      </w:tr>
      <w:tr w:rsidR="002E36CE" w:rsidRPr="00440300">
        <w:trPr>
          <w:trHeight w:val="496"/>
        </w:trPr>
        <w:tc>
          <w:tcPr>
            <w:tcW w:w="3927" w:type="dxa"/>
            <w:tcBorders>
              <w:left w:val="single" w:sz="6" w:space="0" w:color="000000"/>
              <w:right w:val="single" w:sz="6" w:space="0" w:color="000000"/>
            </w:tcBorders>
          </w:tcPr>
          <w:p w:rsidR="002E36CE" w:rsidRPr="00440300" w:rsidRDefault="002E36CE">
            <w:pPr>
              <w:pStyle w:val="TableParagraph"/>
              <w:spacing w:before="3"/>
              <w:rPr>
                <w:lang w:val="ca-ES"/>
              </w:rPr>
            </w:pPr>
          </w:p>
          <w:p w:rsidR="002E36CE" w:rsidRPr="00440300" w:rsidRDefault="00A975B5">
            <w:pPr>
              <w:pStyle w:val="TableParagraph"/>
              <w:spacing w:line="220" w:lineRule="exact"/>
              <w:ind w:left="40"/>
              <w:rPr>
                <w:sz w:val="20"/>
              </w:rPr>
            </w:pPr>
            <w:r>
              <w:rPr>
                <w:sz w:val="20"/>
              </w:rPr>
              <w:t>Cuentas financieras con S.A. Damm</w:t>
            </w:r>
          </w:p>
        </w:tc>
        <w:tc>
          <w:tcPr>
            <w:tcW w:w="1416" w:type="dxa"/>
            <w:tcBorders>
              <w:left w:val="single" w:sz="6" w:space="0" w:color="000000"/>
              <w:right w:val="single" w:sz="6" w:space="0" w:color="000000"/>
            </w:tcBorders>
          </w:tcPr>
          <w:p w:rsidR="002E36CE" w:rsidRPr="00440300" w:rsidRDefault="002E36CE">
            <w:pPr>
              <w:pStyle w:val="TableParagraph"/>
              <w:spacing w:before="3"/>
              <w:rPr>
                <w:lang w:val="ca-ES"/>
              </w:rPr>
            </w:pPr>
          </w:p>
          <w:p w:rsidR="002E36CE" w:rsidRPr="00440300" w:rsidRDefault="00A975B5">
            <w:pPr>
              <w:pStyle w:val="TableParagraph"/>
              <w:spacing w:line="220" w:lineRule="exact"/>
              <w:ind w:right="28"/>
              <w:jc w:val="right"/>
              <w:rPr>
                <w:sz w:val="20"/>
              </w:rPr>
            </w:pPr>
            <w:r>
              <w:rPr>
                <w:sz w:val="20"/>
              </w:rPr>
              <w:t>868.412,55</w:t>
            </w:r>
          </w:p>
        </w:tc>
        <w:tc>
          <w:tcPr>
            <w:tcW w:w="1421" w:type="dxa"/>
            <w:tcBorders>
              <w:left w:val="single" w:sz="6" w:space="0" w:color="000000"/>
              <w:right w:val="single" w:sz="6" w:space="0" w:color="000000"/>
            </w:tcBorders>
          </w:tcPr>
          <w:p w:rsidR="002E36CE" w:rsidRPr="00440300" w:rsidRDefault="002E36CE">
            <w:pPr>
              <w:pStyle w:val="TableParagraph"/>
              <w:spacing w:before="3"/>
              <w:rPr>
                <w:lang w:val="ca-ES"/>
              </w:rPr>
            </w:pPr>
          </w:p>
          <w:p w:rsidR="002E36CE" w:rsidRPr="00440300" w:rsidRDefault="00A975B5">
            <w:pPr>
              <w:pStyle w:val="TableParagraph"/>
              <w:spacing w:line="220" w:lineRule="exact"/>
              <w:ind w:right="28"/>
              <w:jc w:val="right"/>
              <w:rPr>
                <w:sz w:val="20"/>
              </w:rPr>
            </w:pPr>
            <w:r>
              <w:rPr>
                <w:sz w:val="20"/>
              </w:rPr>
              <w:t>154.996,77</w:t>
            </w:r>
          </w:p>
        </w:tc>
      </w:tr>
      <w:tr w:rsidR="002E36CE" w:rsidRPr="00440300">
        <w:trPr>
          <w:trHeight w:val="493"/>
        </w:trPr>
        <w:tc>
          <w:tcPr>
            <w:tcW w:w="3927" w:type="dxa"/>
            <w:tcBorders>
              <w:right w:val="single" w:sz="6" w:space="0" w:color="000000"/>
            </w:tcBorders>
          </w:tcPr>
          <w:p w:rsidR="002E36CE" w:rsidRPr="00440300" w:rsidRDefault="002E36CE">
            <w:pPr>
              <w:pStyle w:val="TableParagraph"/>
              <w:spacing w:before="3"/>
              <w:rPr>
                <w:lang w:val="ca-ES"/>
              </w:rPr>
            </w:pPr>
          </w:p>
          <w:p w:rsidR="002E36CE" w:rsidRPr="00440300" w:rsidRDefault="00A975B5">
            <w:pPr>
              <w:pStyle w:val="TableParagraph"/>
              <w:spacing w:line="218" w:lineRule="exact"/>
              <w:ind w:left="43"/>
              <w:rPr>
                <w:sz w:val="20"/>
              </w:rPr>
            </w:pPr>
            <w:r>
              <w:rPr>
                <w:sz w:val="20"/>
              </w:rPr>
              <w:t>Deudor S.A. Damm</w:t>
            </w:r>
          </w:p>
        </w:tc>
        <w:tc>
          <w:tcPr>
            <w:tcW w:w="1416" w:type="dxa"/>
            <w:tcBorders>
              <w:left w:val="single" w:sz="6" w:space="0" w:color="000000"/>
              <w:right w:val="single" w:sz="6" w:space="0" w:color="000000"/>
            </w:tcBorders>
          </w:tcPr>
          <w:p w:rsidR="002E36CE" w:rsidRPr="00440300" w:rsidRDefault="002E36CE">
            <w:pPr>
              <w:pStyle w:val="TableParagraph"/>
              <w:spacing w:before="3"/>
              <w:rPr>
                <w:lang w:val="ca-ES"/>
              </w:rPr>
            </w:pPr>
          </w:p>
          <w:p w:rsidR="002E36CE" w:rsidRPr="00440300" w:rsidRDefault="00A975B5">
            <w:pPr>
              <w:pStyle w:val="TableParagraph"/>
              <w:spacing w:line="218" w:lineRule="exact"/>
              <w:ind w:right="28"/>
              <w:jc w:val="right"/>
              <w:rPr>
                <w:sz w:val="20"/>
              </w:rPr>
            </w:pPr>
            <w:r>
              <w:rPr>
                <w:sz w:val="20"/>
              </w:rPr>
              <w:t>135.034,41</w:t>
            </w:r>
          </w:p>
        </w:tc>
        <w:tc>
          <w:tcPr>
            <w:tcW w:w="1421" w:type="dxa"/>
            <w:tcBorders>
              <w:left w:val="single" w:sz="6" w:space="0" w:color="000000"/>
              <w:right w:val="single" w:sz="6" w:space="0" w:color="000000"/>
            </w:tcBorders>
          </w:tcPr>
          <w:p w:rsidR="002E36CE" w:rsidRPr="00440300" w:rsidRDefault="00A975B5">
            <w:pPr>
              <w:pStyle w:val="TableParagraph"/>
              <w:spacing w:before="9"/>
              <w:ind w:left="466" w:right="455"/>
              <w:jc w:val="center"/>
              <w:rPr>
                <w:sz w:val="20"/>
              </w:rPr>
            </w:pPr>
            <w:r>
              <w:rPr>
                <w:sz w:val="20"/>
              </w:rPr>
              <w:t>--</w:t>
            </w:r>
          </w:p>
        </w:tc>
      </w:tr>
      <w:tr w:rsidR="002E36CE" w:rsidRPr="00440300">
        <w:trPr>
          <w:trHeight w:val="496"/>
        </w:trPr>
        <w:tc>
          <w:tcPr>
            <w:tcW w:w="3927" w:type="dxa"/>
            <w:tcBorders>
              <w:right w:val="single" w:sz="6" w:space="0" w:color="000000"/>
            </w:tcBorders>
          </w:tcPr>
          <w:p w:rsidR="002E36CE" w:rsidRPr="00440300" w:rsidRDefault="002E36CE">
            <w:pPr>
              <w:pStyle w:val="TableParagraph"/>
              <w:spacing w:before="10"/>
              <w:rPr>
                <w:sz w:val="21"/>
                <w:lang w:val="ca-ES"/>
              </w:rPr>
            </w:pPr>
          </w:p>
          <w:p w:rsidR="002E36CE" w:rsidRPr="00440300" w:rsidRDefault="00A975B5">
            <w:pPr>
              <w:pStyle w:val="TableParagraph"/>
              <w:spacing w:line="225" w:lineRule="exact"/>
              <w:ind w:left="43"/>
              <w:rPr>
                <w:rFonts w:ascii="Lucida Sans"/>
                <w:b/>
                <w:sz w:val="20"/>
              </w:rPr>
            </w:pPr>
            <w:r>
              <w:rPr>
                <w:rFonts w:ascii="Lucida Sans"/>
                <w:b/>
                <w:sz w:val="20"/>
              </w:rPr>
              <w:t>Total</w:t>
            </w:r>
          </w:p>
        </w:tc>
        <w:tc>
          <w:tcPr>
            <w:tcW w:w="1416" w:type="dxa"/>
            <w:tcBorders>
              <w:left w:val="single" w:sz="6" w:space="0" w:color="000000"/>
              <w:right w:val="single" w:sz="6" w:space="0" w:color="000000"/>
            </w:tcBorders>
          </w:tcPr>
          <w:p w:rsidR="002E36CE" w:rsidRPr="00440300" w:rsidRDefault="002E36CE">
            <w:pPr>
              <w:pStyle w:val="TableParagraph"/>
              <w:spacing w:before="10"/>
              <w:rPr>
                <w:sz w:val="21"/>
                <w:lang w:val="ca-ES"/>
              </w:rPr>
            </w:pPr>
          </w:p>
          <w:p w:rsidR="002E36CE" w:rsidRPr="00440300" w:rsidRDefault="00A975B5">
            <w:pPr>
              <w:pStyle w:val="TableParagraph"/>
              <w:spacing w:line="225" w:lineRule="exact"/>
              <w:ind w:right="28"/>
              <w:jc w:val="right"/>
              <w:rPr>
                <w:rFonts w:ascii="Lucida Sans"/>
                <w:b/>
                <w:sz w:val="20"/>
              </w:rPr>
            </w:pPr>
            <w:r>
              <w:rPr>
                <w:rFonts w:ascii="Lucida Sans"/>
                <w:b/>
                <w:sz w:val="20"/>
              </w:rPr>
              <w:t>1.003.446,96</w:t>
            </w:r>
          </w:p>
        </w:tc>
        <w:tc>
          <w:tcPr>
            <w:tcW w:w="1421" w:type="dxa"/>
            <w:tcBorders>
              <w:left w:val="single" w:sz="6" w:space="0" w:color="000000"/>
              <w:right w:val="single" w:sz="6" w:space="0" w:color="000000"/>
            </w:tcBorders>
          </w:tcPr>
          <w:p w:rsidR="002E36CE" w:rsidRPr="00440300" w:rsidRDefault="002E36CE">
            <w:pPr>
              <w:pStyle w:val="TableParagraph"/>
              <w:spacing w:before="10"/>
              <w:rPr>
                <w:sz w:val="21"/>
                <w:lang w:val="ca-ES"/>
              </w:rPr>
            </w:pPr>
          </w:p>
          <w:p w:rsidR="002E36CE" w:rsidRPr="00440300" w:rsidRDefault="00A975B5">
            <w:pPr>
              <w:pStyle w:val="TableParagraph"/>
              <w:spacing w:line="225" w:lineRule="exact"/>
              <w:ind w:right="28"/>
              <w:jc w:val="right"/>
              <w:rPr>
                <w:rFonts w:ascii="Lucida Sans"/>
                <w:b/>
                <w:sz w:val="20"/>
              </w:rPr>
            </w:pPr>
            <w:r>
              <w:rPr>
                <w:rFonts w:ascii="Lucida Sans"/>
                <w:b/>
                <w:sz w:val="20"/>
              </w:rPr>
              <w:t>154.996,77</w:t>
            </w:r>
          </w:p>
        </w:tc>
      </w:tr>
    </w:tbl>
    <w:p w:rsidR="002E36CE" w:rsidRPr="00440300" w:rsidRDefault="002E36CE">
      <w:pPr>
        <w:pStyle w:val="Textoindependiente"/>
        <w:rPr>
          <w:sz w:val="26"/>
          <w:lang w:val="ca-ES"/>
        </w:rPr>
      </w:pPr>
    </w:p>
    <w:p w:rsidR="002E36CE" w:rsidRPr="00440300" w:rsidRDefault="002E36CE">
      <w:pPr>
        <w:pStyle w:val="Textoindependiente"/>
        <w:spacing w:before="9"/>
        <w:rPr>
          <w:sz w:val="21"/>
          <w:lang w:val="ca-ES"/>
        </w:rPr>
      </w:pPr>
    </w:p>
    <w:p w:rsidR="002E36CE" w:rsidRPr="00440300" w:rsidRDefault="00A975B5">
      <w:pPr>
        <w:pStyle w:val="Prrafodelista"/>
        <w:numPr>
          <w:ilvl w:val="0"/>
          <w:numId w:val="4"/>
        </w:numPr>
        <w:tabs>
          <w:tab w:val="left" w:pos="492"/>
        </w:tabs>
        <w:ind w:left="491" w:hanging="369"/>
        <w:rPr>
          <w:rFonts w:ascii="Lucida Sans" w:hAnsi="Lucida Sans"/>
          <w:b/>
        </w:rPr>
      </w:pPr>
      <w:r>
        <w:rPr>
          <w:rFonts w:ascii="Lucida Sans" w:hAnsi="Lucida Sans"/>
          <w:b/>
        </w:rPr>
        <w:t>Otra información</w:t>
      </w:r>
    </w:p>
    <w:p w:rsidR="002E36CE" w:rsidRPr="00440300" w:rsidRDefault="002E36CE">
      <w:pPr>
        <w:pStyle w:val="Textoindependiente"/>
        <w:spacing w:before="11"/>
        <w:rPr>
          <w:rFonts w:ascii="Lucida Sans"/>
          <w:b/>
          <w:sz w:val="24"/>
          <w:lang w:val="ca-ES"/>
        </w:rPr>
      </w:pPr>
    </w:p>
    <w:p w:rsidR="002E36CE" w:rsidRPr="00440300" w:rsidRDefault="00A975B5">
      <w:pPr>
        <w:pStyle w:val="Textoindependiente"/>
        <w:spacing w:line="256" w:lineRule="auto"/>
        <w:ind w:left="122" w:right="834"/>
      </w:pPr>
      <w:r>
        <w:t>El número medio de personal durante los ejercicios 2018 y 2017, detallado por categorías, es el siguiente:</w:t>
      </w:r>
    </w:p>
    <w:tbl>
      <w:tblPr>
        <w:tblStyle w:val="TableNormal"/>
        <w:tblW w:w="0" w:type="auto"/>
        <w:tblInd w:w="10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7"/>
        <w:gridCol w:w="1133"/>
        <w:gridCol w:w="993"/>
      </w:tblGrid>
      <w:tr w:rsidR="002E36CE" w:rsidRPr="00440300">
        <w:trPr>
          <w:trHeight w:val="460"/>
        </w:trPr>
        <w:tc>
          <w:tcPr>
            <w:tcW w:w="4777" w:type="dxa"/>
            <w:tcBorders>
              <w:right w:val="single" w:sz="6" w:space="0" w:color="000000"/>
            </w:tcBorders>
          </w:tcPr>
          <w:p w:rsidR="002E36CE" w:rsidRPr="00440300" w:rsidRDefault="00A975B5">
            <w:pPr>
              <w:pStyle w:val="TableParagraph"/>
              <w:spacing w:before="120"/>
              <w:ind w:left="45"/>
              <w:rPr>
                <w:sz w:val="20"/>
              </w:rPr>
            </w:pPr>
            <w:r>
              <w:rPr>
                <w:sz w:val="20"/>
              </w:rPr>
              <w:t>Categorías</w:t>
            </w:r>
          </w:p>
        </w:tc>
        <w:tc>
          <w:tcPr>
            <w:tcW w:w="1133" w:type="dxa"/>
            <w:tcBorders>
              <w:left w:val="single" w:sz="6" w:space="0" w:color="000000"/>
              <w:right w:val="single" w:sz="6" w:space="0" w:color="000000"/>
            </w:tcBorders>
          </w:tcPr>
          <w:p w:rsidR="002E36CE" w:rsidRPr="00440300" w:rsidRDefault="00A975B5">
            <w:pPr>
              <w:pStyle w:val="TableParagraph"/>
              <w:spacing w:before="120"/>
              <w:ind w:left="321" w:right="312"/>
              <w:jc w:val="center"/>
              <w:rPr>
                <w:sz w:val="20"/>
              </w:rPr>
            </w:pPr>
            <w:r>
              <w:rPr>
                <w:sz w:val="20"/>
              </w:rPr>
              <w:t>2018</w:t>
            </w:r>
          </w:p>
        </w:tc>
        <w:tc>
          <w:tcPr>
            <w:tcW w:w="993" w:type="dxa"/>
            <w:tcBorders>
              <w:left w:val="single" w:sz="6" w:space="0" w:color="000000"/>
              <w:right w:val="single" w:sz="6" w:space="0" w:color="000000"/>
            </w:tcBorders>
          </w:tcPr>
          <w:p w:rsidR="002E36CE" w:rsidRPr="00440300" w:rsidRDefault="00A975B5">
            <w:pPr>
              <w:pStyle w:val="TableParagraph"/>
              <w:spacing w:before="120"/>
              <w:ind w:left="251" w:right="241"/>
              <w:jc w:val="center"/>
              <w:rPr>
                <w:sz w:val="20"/>
              </w:rPr>
            </w:pPr>
            <w:r>
              <w:rPr>
                <w:sz w:val="20"/>
              </w:rPr>
              <w:t>2017</w:t>
            </w:r>
          </w:p>
        </w:tc>
      </w:tr>
      <w:tr w:rsidR="002E36CE" w:rsidRPr="00440300">
        <w:trPr>
          <w:trHeight w:val="366"/>
        </w:trPr>
        <w:tc>
          <w:tcPr>
            <w:tcW w:w="4777" w:type="dxa"/>
            <w:tcBorders>
              <w:left w:val="single" w:sz="6" w:space="0" w:color="000000"/>
              <w:right w:val="single" w:sz="6" w:space="0" w:color="000000"/>
            </w:tcBorders>
          </w:tcPr>
          <w:p w:rsidR="002E36CE" w:rsidRPr="00440300" w:rsidRDefault="00A975B5">
            <w:pPr>
              <w:pStyle w:val="TableParagraph"/>
              <w:spacing w:before="120" w:line="226" w:lineRule="exact"/>
              <w:ind w:left="42"/>
              <w:rPr>
                <w:sz w:val="20"/>
              </w:rPr>
            </w:pPr>
            <w:r>
              <w:rPr>
                <w:sz w:val="20"/>
              </w:rPr>
              <w:t>Dirección, personal técnico y cargos intermedios</w:t>
            </w:r>
          </w:p>
        </w:tc>
        <w:tc>
          <w:tcPr>
            <w:tcW w:w="1133" w:type="dxa"/>
            <w:tcBorders>
              <w:left w:val="single" w:sz="6" w:space="0" w:color="000000"/>
              <w:right w:val="single" w:sz="6" w:space="0" w:color="000000"/>
            </w:tcBorders>
          </w:tcPr>
          <w:p w:rsidR="002E36CE" w:rsidRPr="00440300" w:rsidRDefault="00A975B5">
            <w:pPr>
              <w:pStyle w:val="TableParagraph"/>
              <w:spacing w:before="120" w:line="226" w:lineRule="exact"/>
              <w:ind w:left="14"/>
              <w:jc w:val="center"/>
              <w:rPr>
                <w:sz w:val="20"/>
              </w:rPr>
            </w:pPr>
            <w:r>
              <w:rPr>
                <w:sz w:val="20"/>
              </w:rPr>
              <w:t>7</w:t>
            </w:r>
          </w:p>
        </w:tc>
        <w:tc>
          <w:tcPr>
            <w:tcW w:w="993" w:type="dxa"/>
            <w:tcBorders>
              <w:left w:val="single" w:sz="6" w:space="0" w:color="000000"/>
              <w:right w:val="single" w:sz="6" w:space="0" w:color="000000"/>
            </w:tcBorders>
          </w:tcPr>
          <w:p w:rsidR="002E36CE" w:rsidRPr="00440300" w:rsidRDefault="00A975B5">
            <w:pPr>
              <w:pStyle w:val="TableParagraph"/>
              <w:spacing w:before="120" w:line="226" w:lineRule="exact"/>
              <w:ind w:left="16"/>
              <w:jc w:val="center"/>
              <w:rPr>
                <w:sz w:val="20"/>
              </w:rPr>
            </w:pPr>
            <w:r>
              <w:rPr>
                <w:sz w:val="20"/>
              </w:rPr>
              <w:t>6</w:t>
            </w:r>
          </w:p>
        </w:tc>
      </w:tr>
      <w:tr w:rsidR="002E36CE" w:rsidRPr="00440300">
        <w:trPr>
          <w:trHeight w:val="369"/>
        </w:trPr>
        <w:tc>
          <w:tcPr>
            <w:tcW w:w="4777" w:type="dxa"/>
            <w:tcBorders>
              <w:right w:val="single" w:sz="6" w:space="0" w:color="000000"/>
            </w:tcBorders>
          </w:tcPr>
          <w:p w:rsidR="002E36CE" w:rsidRPr="00440300" w:rsidRDefault="00A975B5">
            <w:pPr>
              <w:pStyle w:val="TableParagraph"/>
              <w:spacing w:before="120" w:line="229" w:lineRule="exact"/>
              <w:ind w:left="45"/>
              <w:rPr>
                <w:sz w:val="20"/>
              </w:rPr>
            </w:pPr>
            <w:r>
              <w:rPr>
                <w:sz w:val="20"/>
              </w:rPr>
              <w:t>Personal administrativo y comercial</w:t>
            </w:r>
          </w:p>
        </w:tc>
        <w:tc>
          <w:tcPr>
            <w:tcW w:w="1133" w:type="dxa"/>
            <w:tcBorders>
              <w:left w:val="single" w:sz="6" w:space="0" w:color="000000"/>
              <w:right w:val="single" w:sz="6" w:space="0" w:color="000000"/>
            </w:tcBorders>
          </w:tcPr>
          <w:p w:rsidR="002E36CE" w:rsidRPr="00440300" w:rsidRDefault="00A975B5">
            <w:pPr>
              <w:pStyle w:val="TableParagraph"/>
              <w:spacing w:before="120" w:line="229" w:lineRule="exact"/>
              <w:ind w:left="321" w:right="312"/>
              <w:jc w:val="center"/>
              <w:rPr>
                <w:sz w:val="20"/>
              </w:rPr>
            </w:pPr>
            <w:r>
              <w:rPr>
                <w:sz w:val="20"/>
              </w:rPr>
              <w:t>11</w:t>
            </w:r>
          </w:p>
        </w:tc>
        <w:tc>
          <w:tcPr>
            <w:tcW w:w="993" w:type="dxa"/>
            <w:tcBorders>
              <w:left w:val="single" w:sz="6" w:space="0" w:color="000000"/>
              <w:right w:val="single" w:sz="6" w:space="0" w:color="000000"/>
            </w:tcBorders>
          </w:tcPr>
          <w:p w:rsidR="002E36CE" w:rsidRPr="00440300" w:rsidRDefault="00A975B5">
            <w:pPr>
              <w:pStyle w:val="TableParagraph"/>
              <w:spacing w:before="120" w:line="229" w:lineRule="exact"/>
              <w:ind w:left="251" w:right="240"/>
              <w:jc w:val="center"/>
              <w:rPr>
                <w:sz w:val="20"/>
              </w:rPr>
            </w:pPr>
            <w:r>
              <w:rPr>
                <w:sz w:val="20"/>
              </w:rPr>
              <w:t>10</w:t>
            </w:r>
          </w:p>
        </w:tc>
      </w:tr>
      <w:tr w:rsidR="002E36CE" w:rsidRPr="00440300">
        <w:trPr>
          <w:trHeight w:val="613"/>
        </w:trPr>
        <w:tc>
          <w:tcPr>
            <w:tcW w:w="4777" w:type="dxa"/>
            <w:tcBorders>
              <w:right w:val="single" w:sz="6" w:space="0" w:color="000000"/>
            </w:tcBorders>
          </w:tcPr>
          <w:p w:rsidR="002E36CE" w:rsidRPr="00440300" w:rsidRDefault="00A975B5">
            <w:pPr>
              <w:pStyle w:val="TableParagraph"/>
              <w:spacing w:before="110" w:line="240" w:lineRule="atLeast"/>
              <w:ind w:left="45" w:right="140"/>
              <w:rPr>
                <w:sz w:val="20"/>
              </w:rPr>
            </w:pPr>
            <w:r>
              <w:rPr>
                <w:sz w:val="20"/>
              </w:rPr>
              <w:t>Personal con discapacidad igual o superior al 33 %</w:t>
            </w:r>
          </w:p>
        </w:tc>
        <w:tc>
          <w:tcPr>
            <w:tcW w:w="1133" w:type="dxa"/>
            <w:tcBorders>
              <w:left w:val="single" w:sz="6" w:space="0" w:color="000000"/>
              <w:right w:val="single" w:sz="6" w:space="0" w:color="000000"/>
            </w:tcBorders>
          </w:tcPr>
          <w:p w:rsidR="002E36CE" w:rsidRPr="00440300" w:rsidRDefault="00A975B5">
            <w:pPr>
              <w:pStyle w:val="TableParagraph"/>
              <w:spacing w:before="120"/>
              <w:ind w:left="14"/>
              <w:jc w:val="center"/>
              <w:rPr>
                <w:sz w:val="20"/>
              </w:rPr>
            </w:pPr>
            <w:r>
              <w:rPr>
                <w:sz w:val="20"/>
              </w:rPr>
              <w:t>1</w:t>
            </w:r>
          </w:p>
        </w:tc>
        <w:tc>
          <w:tcPr>
            <w:tcW w:w="993" w:type="dxa"/>
            <w:tcBorders>
              <w:left w:val="single" w:sz="6" w:space="0" w:color="000000"/>
              <w:right w:val="single" w:sz="6" w:space="0" w:color="000000"/>
            </w:tcBorders>
          </w:tcPr>
          <w:p w:rsidR="002E36CE" w:rsidRPr="00440300" w:rsidRDefault="00A975B5">
            <w:pPr>
              <w:pStyle w:val="TableParagraph"/>
              <w:spacing w:before="113"/>
              <w:ind w:left="251" w:right="236"/>
              <w:jc w:val="center"/>
              <w:rPr>
                <w:rFonts w:ascii="Lucida Sans"/>
                <w:b/>
                <w:sz w:val="20"/>
              </w:rPr>
            </w:pPr>
            <w:r>
              <w:rPr>
                <w:rFonts w:ascii="Lucida Sans"/>
                <w:b/>
                <w:sz w:val="20"/>
              </w:rPr>
              <w:t>--</w:t>
            </w:r>
          </w:p>
        </w:tc>
      </w:tr>
      <w:tr w:rsidR="002E36CE" w:rsidRPr="00440300">
        <w:trPr>
          <w:trHeight w:val="369"/>
        </w:trPr>
        <w:tc>
          <w:tcPr>
            <w:tcW w:w="4777" w:type="dxa"/>
            <w:tcBorders>
              <w:right w:val="single" w:sz="6" w:space="0" w:color="000000"/>
            </w:tcBorders>
          </w:tcPr>
          <w:p w:rsidR="002E36CE" w:rsidRPr="00440300" w:rsidRDefault="00A975B5">
            <w:pPr>
              <w:pStyle w:val="TableParagraph"/>
              <w:spacing w:before="114"/>
              <w:ind w:left="45"/>
              <w:rPr>
                <w:rFonts w:ascii="Lucida Sans"/>
                <w:b/>
                <w:sz w:val="20"/>
              </w:rPr>
            </w:pPr>
            <w:r>
              <w:rPr>
                <w:rFonts w:ascii="Lucida Sans"/>
                <w:b/>
                <w:sz w:val="20"/>
              </w:rPr>
              <w:t>Total</w:t>
            </w:r>
          </w:p>
        </w:tc>
        <w:tc>
          <w:tcPr>
            <w:tcW w:w="1133" w:type="dxa"/>
            <w:tcBorders>
              <w:left w:val="single" w:sz="6" w:space="0" w:color="000000"/>
              <w:right w:val="single" w:sz="6" w:space="0" w:color="000000"/>
            </w:tcBorders>
          </w:tcPr>
          <w:p w:rsidR="002E36CE" w:rsidRPr="00440300" w:rsidRDefault="00A975B5">
            <w:pPr>
              <w:pStyle w:val="TableParagraph"/>
              <w:spacing w:before="114"/>
              <w:ind w:left="321" w:right="312"/>
              <w:jc w:val="center"/>
              <w:rPr>
                <w:rFonts w:ascii="Lucida Sans"/>
                <w:b/>
                <w:sz w:val="20"/>
              </w:rPr>
            </w:pPr>
            <w:r>
              <w:rPr>
                <w:rFonts w:ascii="Lucida Sans"/>
                <w:b/>
                <w:sz w:val="20"/>
              </w:rPr>
              <w:t>19</w:t>
            </w:r>
          </w:p>
        </w:tc>
        <w:tc>
          <w:tcPr>
            <w:tcW w:w="993" w:type="dxa"/>
            <w:tcBorders>
              <w:left w:val="single" w:sz="6" w:space="0" w:color="000000"/>
              <w:right w:val="single" w:sz="6" w:space="0" w:color="000000"/>
            </w:tcBorders>
          </w:tcPr>
          <w:p w:rsidR="002E36CE" w:rsidRPr="00440300" w:rsidRDefault="00A975B5">
            <w:pPr>
              <w:pStyle w:val="TableParagraph"/>
              <w:spacing w:before="114"/>
              <w:ind w:left="251" w:right="240"/>
              <w:jc w:val="center"/>
              <w:rPr>
                <w:rFonts w:ascii="Lucida Sans"/>
                <w:b/>
                <w:sz w:val="20"/>
              </w:rPr>
            </w:pPr>
            <w:r>
              <w:rPr>
                <w:rFonts w:ascii="Lucida Sans"/>
                <w:b/>
                <w:sz w:val="20"/>
              </w:rPr>
              <w:t>16</w:t>
            </w:r>
          </w:p>
        </w:tc>
      </w:tr>
    </w:tbl>
    <w:p w:rsidR="002E36CE" w:rsidRPr="00440300" w:rsidRDefault="002E36CE">
      <w:pPr>
        <w:pStyle w:val="Textoindependiente"/>
        <w:spacing w:before="10"/>
        <w:rPr>
          <w:sz w:val="23"/>
          <w:lang w:val="ca-ES"/>
        </w:rPr>
      </w:pPr>
    </w:p>
    <w:p w:rsidR="002E36CE" w:rsidRPr="00440300" w:rsidRDefault="00A975B5">
      <w:pPr>
        <w:pStyle w:val="Textoindependiente"/>
        <w:spacing w:line="256" w:lineRule="auto"/>
        <w:ind w:left="122" w:right="834"/>
      </w:pPr>
      <w:r>
        <w:t>La distribución por sexo al cierre de los ejercicios 2018 y 2017, detallada por categorías, es la siguiente:</w:t>
      </w:r>
    </w:p>
    <w:p w:rsidR="002E36CE" w:rsidRPr="00440300" w:rsidRDefault="002E36CE">
      <w:pPr>
        <w:pStyle w:val="Textoindependiente"/>
        <w:rPr>
          <w:sz w:val="8"/>
          <w:lang w:val="ca-ES"/>
        </w:rPr>
      </w:pPr>
    </w:p>
    <w:tbl>
      <w:tblPr>
        <w:tblStyle w:val="TableNormal"/>
        <w:tblW w:w="0" w:type="auto"/>
        <w:tblInd w:w="4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64"/>
        <w:gridCol w:w="849"/>
        <w:gridCol w:w="751"/>
        <w:gridCol w:w="808"/>
        <w:gridCol w:w="750"/>
      </w:tblGrid>
      <w:tr w:rsidR="002E36CE" w:rsidRPr="00440300">
        <w:trPr>
          <w:trHeight w:val="369"/>
        </w:trPr>
        <w:tc>
          <w:tcPr>
            <w:tcW w:w="4964" w:type="dxa"/>
            <w:vMerge w:val="restart"/>
            <w:tcBorders>
              <w:bottom w:val="single" w:sz="4" w:space="0" w:color="000000"/>
            </w:tcBorders>
          </w:tcPr>
          <w:p w:rsidR="002E36CE" w:rsidRPr="00440300" w:rsidRDefault="002E36CE">
            <w:pPr>
              <w:pStyle w:val="TableParagraph"/>
              <w:rPr>
                <w:sz w:val="24"/>
                <w:lang w:val="ca-ES"/>
              </w:rPr>
            </w:pPr>
          </w:p>
          <w:p w:rsidR="002E36CE" w:rsidRPr="00440300" w:rsidRDefault="002E36CE">
            <w:pPr>
              <w:pStyle w:val="TableParagraph"/>
              <w:spacing w:before="2"/>
              <w:rPr>
                <w:sz w:val="20"/>
                <w:lang w:val="ca-ES"/>
              </w:rPr>
            </w:pPr>
          </w:p>
          <w:p w:rsidR="002E36CE" w:rsidRPr="00440300" w:rsidRDefault="00A975B5">
            <w:pPr>
              <w:pStyle w:val="TableParagraph"/>
              <w:spacing w:line="218" w:lineRule="exact"/>
              <w:ind w:left="42"/>
              <w:rPr>
                <w:sz w:val="20"/>
              </w:rPr>
            </w:pPr>
            <w:r>
              <w:rPr>
                <w:sz w:val="20"/>
              </w:rPr>
              <w:t>Categorías</w:t>
            </w:r>
          </w:p>
        </w:tc>
        <w:tc>
          <w:tcPr>
            <w:tcW w:w="1600" w:type="dxa"/>
            <w:gridSpan w:val="2"/>
            <w:tcBorders>
              <w:bottom w:val="single" w:sz="4" w:space="0" w:color="000000"/>
            </w:tcBorders>
          </w:tcPr>
          <w:p w:rsidR="002E36CE" w:rsidRPr="00440300" w:rsidRDefault="00A975B5">
            <w:pPr>
              <w:pStyle w:val="TableParagraph"/>
              <w:spacing w:before="129" w:line="220" w:lineRule="exact"/>
              <w:ind w:left="556" w:right="543"/>
              <w:jc w:val="center"/>
              <w:rPr>
                <w:sz w:val="20"/>
              </w:rPr>
            </w:pPr>
            <w:r>
              <w:rPr>
                <w:sz w:val="20"/>
              </w:rPr>
              <w:t>2018</w:t>
            </w:r>
          </w:p>
        </w:tc>
        <w:tc>
          <w:tcPr>
            <w:tcW w:w="1558" w:type="dxa"/>
            <w:gridSpan w:val="2"/>
            <w:tcBorders>
              <w:bottom w:val="single" w:sz="4" w:space="0" w:color="000000"/>
            </w:tcBorders>
          </w:tcPr>
          <w:p w:rsidR="002E36CE" w:rsidRPr="00440300" w:rsidRDefault="00A975B5">
            <w:pPr>
              <w:pStyle w:val="TableParagraph"/>
              <w:spacing w:before="129" w:line="220" w:lineRule="exact"/>
              <w:ind w:left="538" w:right="519"/>
              <w:jc w:val="center"/>
              <w:rPr>
                <w:sz w:val="20"/>
              </w:rPr>
            </w:pPr>
            <w:r>
              <w:rPr>
                <w:sz w:val="20"/>
              </w:rPr>
              <w:t>2017</w:t>
            </w:r>
          </w:p>
        </w:tc>
      </w:tr>
      <w:tr w:rsidR="002E36CE" w:rsidRPr="00440300">
        <w:trPr>
          <w:trHeight w:val="366"/>
        </w:trPr>
        <w:tc>
          <w:tcPr>
            <w:tcW w:w="4964" w:type="dxa"/>
            <w:vMerge/>
            <w:tcBorders>
              <w:top w:val="nil"/>
              <w:bottom w:val="single" w:sz="4" w:space="0" w:color="000000"/>
            </w:tcBorders>
          </w:tcPr>
          <w:p w:rsidR="002E36CE" w:rsidRPr="00440300" w:rsidRDefault="002E36CE">
            <w:pPr>
              <w:rPr>
                <w:sz w:val="2"/>
                <w:szCs w:val="2"/>
                <w:lang w:val="ca-ES"/>
              </w:rPr>
            </w:pPr>
          </w:p>
        </w:tc>
        <w:tc>
          <w:tcPr>
            <w:tcW w:w="849" w:type="dxa"/>
            <w:tcBorders>
              <w:top w:val="single" w:sz="4" w:space="0" w:color="000000"/>
              <w:bottom w:val="single" w:sz="4" w:space="0" w:color="000000"/>
            </w:tcBorders>
          </w:tcPr>
          <w:p w:rsidR="002E36CE" w:rsidRPr="00440300" w:rsidRDefault="00A975B5">
            <w:pPr>
              <w:pStyle w:val="TableParagraph"/>
              <w:spacing w:before="129" w:line="218" w:lineRule="exact"/>
              <w:ind w:left="43"/>
              <w:rPr>
                <w:sz w:val="20"/>
              </w:rPr>
            </w:pPr>
            <w:r>
              <w:rPr>
                <w:sz w:val="20"/>
              </w:rPr>
              <w:t>Hombres</w:t>
            </w:r>
          </w:p>
        </w:tc>
        <w:tc>
          <w:tcPr>
            <w:tcW w:w="751" w:type="dxa"/>
            <w:tcBorders>
              <w:top w:val="single" w:sz="4" w:space="0" w:color="000000"/>
              <w:bottom w:val="single" w:sz="4" w:space="0" w:color="000000"/>
            </w:tcBorders>
          </w:tcPr>
          <w:p w:rsidR="002E36CE" w:rsidRPr="00440300" w:rsidRDefault="00A975B5">
            <w:pPr>
              <w:pStyle w:val="TableParagraph"/>
              <w:spacing w:before="129" w:line="218" w:lineRule="exact"/>
              <w:ind w:left="52" w:right="35"/>
              <w:jc w:val="center"/>
              <w:rPr>
                <w:sz w:val="20"/>
              </w:rPr>
            </w:pPr>
            <w:r>
              <w:rPr>
                <w:sz w:val="20"/>
              </w:rPr>
              <w:t>Mujeres</w:t>
            </w:r>
          </w:p>
        </w:tc>
        <w:tc>
          <w:tcPr>
            <w:tcW w:w="808" w:type="dxa"/>
            <w:tcBorders>
              <w:top w:val="single" w:sz="4" w:space="0" w:color="000000"/>
              <w:bottom w:val="single" w:sz="4" w:space="0" w:color="000000"/>
            </w:tcBorders>
          </w:tcPr>
          <w:p w:rsidR="002E36CE" w:rsidRPr="00440300" w:rsidRDefault="00A975B5">
            <w:pPr>
              <w:pStyle w:val="TableParagraph"/>
              <w:spacing w:before="129" w:line="218" w:lineRule="exact"/>
              <w:ind w:left="52" w:right="35"/>
              <w:jc w:val="center"/>
              <w:rPr>
                <w:sz w:val="20"/>
              </w:rPr>
            </w:pPr>
            <w:r>
              <w:rPr>
                <w:sz w:val="20"/>
              </w:rPr>
              <w:t>Hombres</w:t>
            </w:r>
          </w:p>
        </w:tc>
        <w:tc>
          <w:tcPr>
            <w:tcW w:w="750" w:type="dxa"/>
            <w:tcBorders>
              <w:top w:val="single" w:sz="4" w:space="0" w:color="000000"/>
              <w:bottom w:val="single" w:sz="4" w:space="0" w:color="000000"/>
            </w:tcBorders>
          </w:tcPr>
          <w:p w:rsidR="002E36CE" w:rsidRPr="00440300" w:rsidRDefault="00A975B5">
            <w:pPr>
              <w:pStyle w:val="TableParagraph"/>
              <w:spacing w:before="129" w:line="218" w:lineRule="exact"/>
              <w:ind w:left="54" w:right="33"/>
              <w:jc w:val="center"/>
              <w:rPr>
                <w:sz w:val="20"/>
              </w:rPr>
            </w:pPr>
            <w:r>
              <w:rPr>
                <w:sz w:val="20"/>
              </w:rPr>
              <w:t>Mujeres</w:t>
            </w:r>
          </w:p>
        </w:tc>
      </w:tr>
      <w:tr w:rsidR="002E36CE" w:rsidRPr="00440300">
        <w:trPr>
          <w:trHeight w:val="366"/>
        </w:trPr>
        <w:tc>
          <w:tcPr>
            <w:tcW w:w="4964" w:type="dxa"/>
            <w:tcBorders>
              <w:top w:val="single" w:sz="4" w:space="0" w:color="000000"/>
              <w:bottom w:val="single" w:sz="4" w:space="0" w:color="000000"/>
            </w:tcBorders>
          </w:tcPr>
          <w:p w:rsidR="002E36CE" w:rsidRPr="00440300" w:rsidRDefault="00A975B5">
            <w:pPr>
              <w:pStyle w:val="TableParagraph"/>
              <w:spacing w:before="129" w:line="218" w:lineRule="exact"/>
              <w:ind w:left="42"/>
              <w:rPr>
                <w:sz w:val="20"/>
              </w:rPr>
            </w:pPr>
            <w:r>
              <w:rPr>
                <w:sz w:val="20"/>
              </w:rPr>
              <w:t>Dirección, personal técnico y cargos intermedios</w:t>
            </w:r>
          </w:p>
        </w:tc>
        <w:tc>
          <w:tcPr>
            <w:tcW w:w="849" w:type="dxa"/>
            <w:tcBorders>
              <w:top w:val="single" w:sz="4" w:space="0" w:color="000000"/>
              <w:bottom w:val="single" w:sz="4" w:space="0" w:color="000000"/>
            </w:tcBorders>
          </w:tcPr>
          <w:p w:rsidR="002E36CE" w:rsidRPr="00440300" w:rsidRDefault="00A975B5">
            <w:pPr>
              <w:pStyle w:val="TableParagraph"/>
              <w:spacing w:before="129" w:line="218" w:lineRule="exact"/>
              <w:ind w:left="283" w:right="268"/>
              <w:jc w:val="center"/>
              <w:rPr>
                <w:sz w:val="20"/>
              </w:rPr>
            </w:pPr>
            <w:r>
              <w:rPr>
                <w:sz w:val="20"/>
              </w:rPr>
              <w:t>68</w:t>
            </w:r>
          </w:p>
        </w:tc>
        <w:tc>
          <w:tcPr>
            <w:tcW w:w="751" w:type="dxa"/>
            <w:tcBorders>
              <w:top w:val="single" w:sz="4" w:space="0" w:color="000000"/>
              <w:bottom w:val="single" w:sz="4" w:space="0" w:color="000000"/>
            </w:tcBorders>
          </w:tcPr>
          <w:p w:rsidR="002E36CE" w:rsidRPr="00440300" w:rsidRDefault="00A975B5">
            <w:pPr>
              <w:pStyle w:val="TableParagraph"/>
              <w:spacing w:before="129" w:line="218" w:lineRule="exact"/>
              <w:ind w:left="18"/>
              <w:jc w:val="center"/>
              <w:rPr>
                <w:sz w:val="20"/>
              </w:rPr>
            </w:pPr>
            <w:r>
              <w:rPr>
                <w:sz w:val="20"/>
              </w:rPr>
              <w:t>5</w:t>
            </w:r>
          </w:p>
        </w:tc>
        <w:tc>
          <w:tcPr>
            <w:tcW w:w="808" w:type="dxa"/>
            <w:tcBorders>
              <w:top w:val="single" w:sz="4" w:space="0" w:color="000000"/>
              <w:bottom w:val="single" w:sz="4" w:space="0" w:color="000000"/>
            </w:tcBorders>
          </w:tcPr>
          <w:p w:rsidR="002E36CE" w:rsidRPr="00440300" w:rsidRDefault="00A975B5">
            <w:pPr>
              <w:pStyle w:val="TableParagraph"/>
              <w:spacing w:before="129" w:line="218" w:lineRule="exact"/>
              <w:ind w:left="50" w:right="35"/>
              <w:jc w:val="center"/>
              <w:rPr>
                <w:sz w:val="20"/>
              </w:rPr>
            </w:pPr>
            <w:r>
              <w:rPr>
                <w:sz w:val="20"/>
              </w:rPr>
              <w:t>65</w:t>
            </w:r>
          </w:p>
        </w:tc>
        <w:tc>
          <w:tcPr>
            <w:tcW w:w="750" w:type="dxa"/>
            <w:tcBorders>
              <w:top w:val="single" w:sz="4" w:space="0" w:color="000000"/>
              <w:bottom w:val="single" w:sz="4" w:space="0" w:color="000000"/>
            </w:tcBorders>
          </w:tcPr>
          <w:p w:rsidR="002E36CE" w:rsidRPr="00440300" w:rsidRDefault="00A975B5">
            <w:pPr>
              <w:pStyle w:val="TableParagraph"/>
              <w:spacing w:before="129" w:line="218" w:lineRule="exact"/>
              <w:ind w:left="23"/>
              <w:jc w:val="center"/>
              <w:rPr>
                <w:sz w:val="20"/>
              </w:rPr>
            </w:pPr>
            <w:r>
              <w:rPr>
                <w:sz w:val="20"/>
              </w:rPr>
              <w:t>4</w:t>
            </w:r>
          </w:p>
        </w:tc>
      </w:tr>
      <w:tr w:rsidR="002E36CE" w:rsidRPr="00440300">
        <w:trPr>
          <w:trHeight w:val="369"/>
        </w:trPr>
        <w:tc>
          <w:tcPr>
            <w:tcW w:w="4964" w:type="dxa"/>
            <w:tcBorders>
              <w:top w:val="single" w:sz="4" w:space="0" w:color="000000"/>
              <w:left w:val="single" w:sz="4" w:space="0" w:color="000000"/>
              <w:bottom w:val="single" w:sz="4" w:space="0" w:color="000000"/>
            </w:tcBorders>
          </w:tcPr>
          <w:p w:rsidR="002E36CE" w:rsidRPr="00440300" w:rsidRDefault="00A975B5">
            <w:pPr>
              <w:pStyle w:val="TableParagraph"/>
              <w:spacing w:before="131" w:line="218" w:lineRule="exact"/>
              <w:ind w:left="45"/>
              <w:rPr>
                <w:sz w:val="20"/>
              </w:rPr>
            </w:pPr>
            <w:r>
              <w:rPr>
                <w:sz w:val="20"/>
              </w:rPr>
              <w:t>Personal administrativo y comercial</w:t>
            </w:r>
          </w:p>
        </w:tc>
        <w:tc>
          <w:tcPr>
            <w:tcW w:w="849" w:type="dxa"/>
            <w:tcBorders>
              <w:top w:val="single" w:sz="4" w:space="0" w:color="000000"/>
              <w:bottom w:val="single" w:sz="4" w:space="0" w:color="000000"/>
            </w:tcBorders>
          </w:tcPr>
          <w:p w:rsidR="002E36CE" w:rsidRPr="00440300" w:rsidRDefault="00A975B5">
            <w:pPr>
              <w:pStyle w:val="TableParagraph"/>
              <w:spacing w:before="131" w:line="218" w:lineRule="exact"/>
              <w:ind w:left="15"/>
              <w:jc w:val="center"/>
              <w:rPr>
                <w:sz w:val="20"/>
              </w:rPr>
            </w:pPr>
            <w:r>
              <w:rPr>
                <w:sz w:val="20"/>
              </w:rPr>
              <w:t>1</w:t>
            </w:r>
          </w:p>
        </w:tc>
        <w:tc>
          <w:tcPr>
            <w:tcW w:w="751" w:type="dxa"/>
            <w:tcBorders>
              <w:top w:val="single" w:sz="4" w:space="0" w:color="000000"/>
              <w:bottom w:val="single" w:sz="4" w:space="0" w:color="000000"/>
            </w:tcBorders>
          </w:tcPr>
          <w:p w:rsidR="002E36CE" w:rsidRPr="00440300" w:rsidRDefault="00A975B5">
            <w:pPr>
              <w:pStyle w:val="TableParagraph"/>
              <w:spacing w:before="131" w:line="218" w:lineRule="exact"/>
              <w:ind w:left="17"/>
              <w:jc w:val="center"/>
              <w:rPr>
                <w:sz w:val="20"/>
              </w:rPr>
            </w:pPr>
            <w:r>
              <w:rPr>
                <w:sz w:val="20"/>
              </w:rPr>
              <w:t>-</w:t>
            </w:r>
          </w:p>
        </w:tc>
        <w:tc>
          <w:tcPr>
            <w:tcW w:w="808" w:type="dxa"/>
            <w:tcBorders>
              <w:top w:val="single" w:sz="4" w:space="0" w:color="000000"/>
              <w:bottom w:val="single" w:sz="4" w:space="0" w:color="000000"/>
            </w:tcBorders>
          </w:tcPr>
          <w:p w:rsidR="002E36CE" w:rsidRPr="00440300" w:rsidRDefault="00A975B5">
            <w:pPr>
              <w:pStyle w:val="TableParagraph"/>
              <w:spacing w:before="131" w:line="218" w:lineRule="exact"/>
              <w:ind w:left="21"/>
              <w:jc w:val="center"/>
              <w:rPr>
                <w:sz w:val="20"/>
              </w:rPr>
            </w:pPr>
            <w:r>
              <w:rPr>
                <w:sz w:val="20"/>
              </w:rPr>
              <w:t>1</w:t>
            </w:r>
          </w:p>
        </w:tc>
        <w:tc>
          <w:tcPr>
            <w:tcW w:w="750" w:type="dxa"/>
            <w:tcBorders>
              <w:top w:val="single" w:sz="4" w:space="0" w:color="000000"/>
              <w:bottom w:val="single" w:sz="4" w:space="0" w:color="000000"/>
            </w:tcBorders>
          </w:tcPr>
          <w:p w:rsidR="002E36CE" w:rsidRPr="00440300" w:rsidRDefault="00A975B5">
            <w:pPr>
              <w:pStyle w:val="TableParagraph"/>
              <w:spacing w:before="131" w:line="218" w:lineRule="exact"/>
              <w:ind w:left="21"/>
              <w:jc w:val="center"/>
              <w:rPr>
                <w:sz w:val="20"/>
              </w:rPr>
            </w:pPr>
            <w:r>
              <w:rPr>
                <w:sz w:val="20"/>
              </w:rPr>
              <w:t>-</w:t>
            </w:r>
          </w:p>
        </w:tc>
      </w:tr>
      <w:tr w:rsidR="002E36CE" w:rsidRPr="00440300">
        <w:trPr>
          <w:trHeight w:val="366"/>
        </w:trPr>
        <w:tc>
          <w:tcPr>
            <w:tcW w:w="4964" w:type="dxa"/>
            <w:tcBorders>
              <w:top w:val="single" w:sz="4" w:space="0" w:color="000000"/>
              <w:left w:val="single" w:sz="4" w:space="0" w:color="000000"/>
              <w:bottom w:val="single" w:sz="4" w:space="0" w:color="000000"/>
            </w:tcBorders>
          </w:tcPr>
          <w:p w:rsidR="002E36CE" w:rsidRPr="00440300" w:rsidRDefault="00A975B5">
            <w:pPr>
              <w:pStyle w:val="TableParagraph"/>
              <w:spacing w:before="122" w:line="225" w:lineRule="exact"/>
              <w:ind w:left="45"/>
              <w:rPr>
                <w:rFonts w:ascii="Lucida Sans"/>
                <w:b/>
                <w:sz w:val="20"/>
              </w:rPr>
            </w:pPr>
            <w:r>
              <w:rPr>
                <w:rFonts w:ascii="Lucida Sans"/>
                <w:b/>
                <w:sz w:val="20"/>
              </w:rPr>
              <w:t>Total</w:t>
            </w:r>
          </w:p>
        </w:tc>
        <w:tc>
          <w:tcPr>
            <w:tcW w:w="849" w:type="dxa"/>
            <w:tcBorders>
              <w:top w:val="single" w:sz="4" w:space="0" w:color="000000"/>
              <w:bottom w:val="single" w:sz="4" w:space="0" w:color="000000"/>
            </w:tcBorders>
          </w:tcPr>
          <w:p w:rsidR="002E36CE" w:rsidRPr="00440300" w:rsidRDefault="00A975B5">
            <w:pPr>
              <w:pStyle w:val="TableParagraph"/>
              <w:spacing w:before="122" w:line="225" w:lineRule="exact"/>
              <w:ind w:left="283" w:right="268"/>
              <w:jc w:val="center"/>
              <w:rPr>
                <w:rFonts w:ascii="Lucida Sans"/>
                <w:b/>
                <w:sz w:val="20"/>
              </w:rPr>
            </w:pPr>
            <w:r>
              <w:rPr>
                <w:rFonts w:ascii="Lucida Sans"/>
                <w:b/>
                <w:sz w:val="20"/>
              </w:rPr>
              <w:t>69</w:t>
            </w:r>
          </w:p>
        </w:tc>
        <w:tc>
          <w:tcPr>
            <w:tcW w:w="751" w:type="dxa"/>
            <w:tcBorders>
              <w:top w:val="single" w:sz="4" w:space="0" w:color="000000"/>
              <w:bottom w:val="single" w:sz="4" w:space="0" w:color="000000"/>
            </w:tcBorders>
          </w:tcPr>
          <w:p w:rsidR="002E36CE" w:rsidRPr="00440300" w:rsidRDefault="00A975B5">
            <w:pPr>
              <w:pStyle w:val="TableParagraph"/>
              <w:spacing w:before="122" w:line="225" w:lineRule="exact"/>
              <w:ind w:left="18"/>
              <w:jc w:val="center"/>
              <w:rPr>
                <w:rFonts w:ascii="Lucida Sans"/>
                <w:b/>
                <w:sz w:val="20"/>
              </w:rPr>
            </w:pPr>
            <w:r>
              <w:rPr>
                <w:rFonts w:ascii="Lucida Sans"/>
                <w:b/>
                <w:sz w:val="20"/>
              </w:rPr>
              <w:t>5</w:t>
            </w:r>
          </w:p>
        </w:tc>
        <w:tc>
          <w:tcPr>
            <w:tcW w:w="808" w:type="dxa"/>
            <w:tcBorders>
              <w:top w:val="single" w:sz="4" w:space="0" w:color="000000"/>
              <w:bottom w:val="single" w:sz="4" w:space="0" w:color="000000"/>
            </w:tcBorders>
          </w:tcPr>
          <w:p w:rsidR="002E36CE" w:rsidRPr="00440300" w:rsidRDefault="00A975B5">
            <w:pPr>
              <w:pStyle w:val="TableParagraph"/>
              <w:spacing w:before="122" w:line="225" w:lineRule="exact"/>
              <w:ind w:left="50" w:right="35"/>
              <w:jc w:val="center"/>
              <w:rPr>
                <w:rFonts w:ascii="Lucida Sans"/>
                <w:b/>
                <w:sz w:val="20"/>
              </w:rPr>
            </w:pPr>
            <w:r>
              <w:rPr>
                <w:rFonts w:ascii="Lucida Sans"/>
                <w:b/>
                <w:sz w:val="20"/>
              </w:rPr>
              <w:t>66</w:t>
            </w:r>
          </w:p>
        </w:tc>
        <w:tc>
          <w:tcPr>
            <w:tcW w:w="750" w:type="dxa"/>
            <w:tcBorders>
              <w:top w:val="single" w:sz="4" w:space="0" w:color="000000"/>
              <w:bottom w:val="single" w:sz="4" w:space="0" w:color="000000"/>
            </w:tcBorders>
          </w:tcPr>
          <w:p w:rsidR="002E36CE" w:rsidRPr="00440300" w:rsidRDefault="00A975B5">
            <w:pPr>
              <w:pStyle w:val="TableParagraph"/>
              <w:spacing w:before="122" w:line="225" w:lineRule="exact"/>
              <w:ind w:left="23"/>
              <w:jc w:val="center"/>
              <w:rPr>
                <w:rFonts w:ascii="Lucida Sans"/>
                <w:b/>
                <w:sz w:val="20"/>
              </w:rPr>
            </w:pPr>
            <w:r>
              <w:rPr>
                <w:rFonts w:ascii="Lucida Sans"/>
                <w:b/>
                <w:sz w:val="20"/>
              </w:rPr>
              <w:t>4</w:t>
            </w:r>
          </w:p>
        </w:tc>
      </w:tr>
    </w:tbl>
    <w:p w:rsidR="002E36CE" w:rsidRPr="00440300" w:rsidRDefault="002E36CE">
      <w:pPr>
        <w:pStyle w:val="Textoindependiente"/>
        <w:rPr>
          <w:sz w:val="26"/>
          <w:lang w:val="ca-ES"/>
        </w:rPr>
      </w:pPr>
    </w:p>
    <w:p w:rsidR="002E36CE" w:rsidRPr="00440300" w:rsidRDefault="00A975B5">
      <w:pPr>
        <w:pStyle w:val="Textoindependiente"/>
        <w:spacing w:before="201" w:line="259" w:lineRule="auto"/>
        <w:ind w:left="122" w:right="976"/>
        <w:jc w:val="both"/>
      </w:pPr>
      <w:r>
        <w:t>La Fundación Damm está integrada en el grupo de sociedades del Grupo Damm, cuya sociedad dominante es S.A. Damm, que deposita sus cuentas anuales en el Registro Mercantil de Barcelona.</w:t>
      </w:r>
    </w:p>
    <w:p w:rsidR="002E36CE" w:rsidRPr="00440300" w:rsidRDefault="002E36CE">
      <w:pPr>
        <w:pStyle w:val="Textoindependiente"/>
        <w:spacing w:before="5"/>
        <w:rPr>
          <w:sz w:val="23"/>
          <w:lang w:val="ca-ES"/>
        </w:rPr>
      </w:pPr>
    </w:p>
    <w:p w:rsidR="002E36CE" w:rsidRPr="00440300" w:rsidRDefault="00A975B5">
      <w:pPr>
        <w:pStyle w:val="Textoindependiente"/>
        <w:spacing w:line="259" w:lineRule="auto"/>
        <w:ind w:left="122" w:right="1449"/>
      </w:pPr>
      <w:r>
        <w:t>Durante el ejercicio de 2018, los miembros del Patronato no han cobrado ningún importe en concepto de sueldos, salarios, dietas, ni atenciones estatutarias.</w:t>
      </w:r>
    </w:p>
    <w:p w:rsidR="002E36CE" w:rsidRPr="00440300" w:rsidRDefault="002E36CE">
      <w:pPr>
        <w:pStyle w:val="Textoindependiente"/>
        <w:rPr>
          <w:sz w:val="26"/>
          <w:lang w:val="ca-ES"/>
        </w:rPr>
      </w:pPr>
    </w:p>
    <w:p w:rsidR="002E36CE" w:rsidRPr="00440300" w:rsidRDefault="002E36CE">
      <w:pPr>
        <w:pStyle w:val="Textoindependiente"/>
        <w:spacing w:before="9"/>
        <w:rPr>
          <w:sz w:val="20"/>
          <w:lang w:val="ca-ES"/>
        </w:rPr>
      </w:pPr>
    </w:p>
    <w:p w:rsidR="002E36CE" w:rsidRPr="00440300" w:rsidRDefault="00A975B5">
      <w:pPr>
        <w:pStyle w:val="Prrafodelista"/>
        <w:numPr>
          <w:ilvl w:val="0"/>
          <w:numId w:val="4"/>
        </w:numPr>
        <w:tabs>
          <w:tab w:val="left" w:pos="492"/>
        </w:tabs>
        <w:ind w:left="491" w:hanging="369"/>
        <w:jc w:val="both"/>
        <w:rPr>
          <w:rFonts w:ascii="Lucida Sans"/>
          <w:b/>
        </w:rPr>
      </w:pPr>
      <w:r>
        <w:rPr>
          <w:rFonts w:ascii="Lucida Sans"/>
          <w:b/>
        </w:rPr>
        <w:t>Hechos posteriores al cierre</w:t>
      </w:r>
    </w:p>
    <w:p w:rsidR="002E36CE" w:rsidRPr="00440300" w:rsidRDefault="002E36CE">
      <w:pPr>
        <w:pStyle w:val="Textoindependiente"/>
        <w:spacing w:before="3"/>
        <w:rPr>
          <w:rFonts w:ascii="Lucida Sans"/>
          <w:b/>
          <w:sz w:val="21"/>
          <w:lang w:val="ca-ES"/>
        </w:rPr>
      </w:pPr>
    </w:p>
    <w:p w:rsidR="002E36CE" w:rsidRPr="00440300" w:rsidRDefault="00A975B5">
      <w:pPr>
        <w:pStyle w:val="Textoindependiente"/>
        <w:spacing w:before="1"/>
        <w:ind w:left="122"/>
        <w:jc w:val="both"/>
      </w:pPr>
      <w:r>
        <w:t>No existen al cierre hechos posteriores significativos.</w:t>
      </w:r>
    </w:p>
    <w:sectPr w:rsidR="002E36CE" w:rsidRPr="00440300">
      <w:pgSz w:w="12240" w:h="15840"/>
      <w:pgMar w:top="1200" w:right="72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1707C2"/>
    <w:multiLevelType w:val="hybridMultilevel"/>
    <w:tmpl w:val="A3604068"/>
    <w:lvl w:ilvl="0" w:tplc="5E2E9DDC">
      <w:start w:val="1"/>
      <w:numFmt w:val="lowerLetter"/>
      <w:lvlText w:val="%1)"/>
      <w:lvlJc w:val="left"/>
      <w:pPr>
        <w:ind w:left="688" w:hanging="284"/>
        <w:jc w:val="left"/>
      </w:pPr>
      <w:rPr>
        <w:rFonts w:hint="default"/>
        <w:spacing w:val="-1"/>
        <w:w w:val="100"/>
        <w:lang w:val="es-ES" w:eastAsia="es-ES" w:bidi="es-ES"/>
      </w:rPr>
    </w:lvl>
    <w:lvl w:ilvl="1" w:tplc="71540F16">
      <w:numFmt w:val="bullet"/>
      <w:lvlText w:val="•"/>
      <w:lvlJc w:val="left"/>
      <w:pPr>
        <w:ind w:left="1606" w:hanging="284"/>
      </w:pPr>
      <w:rPr>
        <w:rFonts w:hint="default"/>
        <w:lang w:val="es-ES" w:eastAsia="es-ES" w:bidi="es-ES"/>
      </w:rPr>
    </w:lvl>
    <w:lvl w:ilvl="2" w:tplc="3C96CC92">
      <w:numFmt w:val="bullet"/>
      <w:lvlText w:val="•"/>
      <w:lvlJc w:val="left"/>
      <w:pPr>
        <w:ind w:left="2532" w:hanging="284"/>
      </w:pPr>
      <w:rPr>
        <w:rFonts w:hint="default"/>
        <w:lang w:val="es-ES" w:eastAsia="es-ES" w:bidi="es-ES"/>
      </w:rPr>
    </w:lvl>
    <w:lvl w:ilvl="3" w:tplc="AE4E8252">
      <w:numFmt w:val="bullet"/>
      <w:lvlText w:val="•"/>
      <w:lvlJc w:val="left"/>
      <w:pPr>
        <w:ind w:left="3458" w:hanging="284"/>
      </w:pPr>
      <w:rPr>
        <w:rFonts w:hint="default"/>
        <w:lang w:val="es-ES" w:eastAsia="es-ES" w:bidi="es-ES"/>
      </w:rPr>
    </w:lvl>
    <w:lvl w:ilvl="4" w:tplc="1090AA62">
      <w:numFmt w:val="bullet"/>
      <w:lvlText w:val="•"/>
      <w:lvlJc w:val="left"/>
      <w:pPr>
        <w:ind w:left="4384" w:hanging="284"/>
      </w:pPr>
      <w:rPr>
        <w:rFonts w:hint="default"/>
        <w:lang w:val="es-ES" w:eastAsia="es-ES" w:bidi="es-ES"/>
      </w:rPr>
    </w:lvl>
    <w:lvl w:ilvl="5" w:tplc="EF8C5572">
      <w:numFmt w:val="bullet"/>
      <w:lvlText w:val="•"/>
      <w:lvlJc w:val="left"/>
      <w:pPr>
        <w:ind w:left="5310" w:hanging="284"/>
      </w:pPr>
      <w:rPr>
        <w:rFonts w:hint="default"/>
        <w:lang w:val="es-ES" w:eastAsia="es-ES" w:bidi="es-ES"/>
      </w:rPr>
    </w:lvl>
    <w:lvl w:ilvl="6" w:tplc="84E01AEE">
      <w:numFmt w:val="bullet"/>
      <w:lvlText w:val="•"/>
      <w:lvlJc w:val="left"/>
      <w:pPr>
        <w:ind w:left="6236" w:hanging="284"/>
      </w:pPr>
      <w:rPr>
        <w:rFonts w:hint="default"/>
        <w:lang w:val="es-ES" w:eastAsia="es-ES" w:bidi="es-ES"/>
      </w:rPr>
    </w:lvl>
    <w:lvl w:ilvl="7" w:tplc="88EA0000">
      <w:numFmt w:val="bullet"/>
      <w:lvlText w:val="•"/>
      <w:lvlJc w:val="left"/>
      <w:pPr>
        <w:ind w:left="7162" w:hanging="284"/>
      </w:pPr>
      <w:rPr>
        <w:rFonts w:hint="default"/>
        <w:lang w:val="es-ES" w:eastAsia="es-ES" w:bidi="es-ES"/>
      </w:rPr>
    </w:lvl>
    <w:lvl w:ilvl="8" w:tplc="3974A9D4">
      <w:numFmt w:val="bullet"/>
      <w:lvlText w:val="•"/>
      <w:lvlJc w:val="left"/>
      <w:pPr>
        <w:ind w:left="8088" w:hanging="284"/>
      </w:pPr>
      <w:rPr>
        <w:rFonts w:hint="default"/>
        <w:lang w:val="es-ES" w:eastAsia="es-ES" w:bidi="es-ES"/>
      </w:rPr>
    </w:lvl>
  </w:abstractNum>
  <w:abstractNum w:abstractNumId="1" w15:restartNumberingAfterBreak="0">
    <w:nsid w:val="4FD266A4"/>
    <w:multiLevelType w:val="hybridMultilevel"/>
    <w:tmpl w:val="F35A7EF8"/>
    <w:lvl w:ilvl="0" w:tplc="73D8C8E0">
      <w:start w:val="1"/>
      <w:numFmt w:val="lowerLetter"/>
      <w:lvlText w:val="%1)"/>
      <w:lvlJc w:val="left"/>
      <w:pPr>
        <w:ind w:left="549" w:hanging="281"/>
        <w:jc w:val="left"/>
      </w:pPr>
      <w:rPr>
        <w:rFonts w:ascii="Arial" w:eastAsia="Arial" w:hAnsi="Arial" w:cs="Arial" w:hint="default"/>
        <w:w w:val="99"/>
        <w:sz w:val="18"/>
        <w:szCs w:val="18"/>
        <w:lang w:val="es-ES" w:eastAsia="es-ES" w:bidi="es-ES"/>
      </w:rPr>
    </w:lvl>
    <w:lvl w:ilvl="1" w:tplc="E182CFEA">
      <w:numFmt w:val="bullet"/>
      <w:lvlText w:val="•"/>
      <w:lvlJc w:val="left"/>
      <w:pPr>
        <w:ind w:left="1480" w:hanging="281"/>
      </w:pPr>
      <w:rPr>
        <w:rFonts w:hint="default"/>
        <w:lang w:val="es-ES" w:eastAsia="es-ES" w:bidi="es-ES"/>
      </w:rPr>
    </w:lvl>
    <w:lvl w:ilvl="2" w:tplc="F03CF76A">
      <w:numFmt w:val="bullet"/>
      <w:lvlText w:val="•"/>
      <w:lvlJc w:val="left"/>
      <w:pPr>
        <w:ind w:left="2420" w:hanging="281"/>
      </w:pPr>
      <w:rPr>
        <w:rFonts w:hint="default"/>
        <w:lang w:val="es-ES" w:eastAsia="es-ES" w:bidi="es-ES"/>
      </w:rPr>
    </w:lvl>
    <w:lvl w:ilvl="3" w:tplc="597E91EE">
      <w:numFmt w:val="bullet"/>
      <w:lvlText w:val="•"/>
      <w:lvlJc w:val="left"/>
      <w:pPr>
        <w:ind w:left="3360" w:hanging="281"/>
      </w:pPr>
      <w:rPr>
        <w:rFonts w:hint="default"/>
        <w:lang w:val="es-ES" w:eastAsia="es-ES" w:bidi="es-ES"/>
      </w:rPr>
    </w:lvl>
    <w:lvl w:ilvl="4" w:tplc="F8CAF796">
      <w:numFmt w:val="bullet"/>
      <w:lvlText w:val="•"/>
      <w:lvlJc w:val="left"/>
      <w:pPr>
        <w:ind w:left="4300" w:hanging="281"/>
      </w:pPr>
      <w:rPr>
        <w:rFonts w:hint="default"/>
        <w:lang w:val="es-ES" w:eastAsia="es-ES" w:bidi="es-ES"/>
      </w:rPr>
    </w:lvl>
    <w:lvl w:ilvl="5" w:tplc="C7AA76AC">
      <w:numFmt w:val="bullet"/>
      <w:lvlText w:val="•"/>
      <w:lvlJc w:val="left"/>
      <w:pPr>
        <w:ind w:left="5240" w:hanging="281"/>
      </w:pPr>
      <w:rPr>
        <w:rFonts w:hint="default"/>
        <w:lang w:val="es-ES" w:eastAsia="es-ES" w:bidi="es-ES"/>
      </w:rPr>
    </w:lvl>
    <w:lvl w:ilvl="6" w:tplc="120E2910">
      <w:numFmt w:val="bullet"/>
      <w:lvlText w:val="•"/>
      <w:lvlJc w:val="left"/>
      <w:pPr>
        <w:ind w:left="6180" w:hanging="281"/>
      </w:pPr>
      <w:rPr>
        <w:rFonts w:hint="default"/>
        <w:lang w:val="es-ES" w:eastAsia="es-ES" w:bidi="es-ES"/>
      </w:rPr>
    </w:lvl>
    <w:lvl w:ilvl="7" w:tplc="D728A3C2">
      <w:numFmt w:val="bullet"/>
      <w:lvlText w:val="•"/>
      <w:lvlJc w:val="left"/>
      <w:pPr>
        <w:ind w:left="7120" w:hanging="281"/>
      </w:pPr>
      <w:rPr>
        <w:rFonts w:hint="default"/>
        <w:lang w:val="es-ES" w:eastAsia="es-ES" w:bidi="es-ES"/>
      </w:rPr>
    </w:lvl>
    <w:lvl w:ilvl="8" w:tplc="D2AA44C4">
      <w:numFmt w:val="bullet"/>
      <w:lvlText w:val="•"/>
      <w:lvlJc w:val="left"/>
      <w:pPr>
        <w:ind w:left="8060" w:hanging="281"/>
      </w:pPr>
      <w:rPr>
        <w:rFonts w:hint="default"/>
        <w:lang w:val="es-ES" w:eastAsia="es-ES" w:bidi="es-ES"/>
      </w:rPr>
    </w:lvl>
  </w:abstractNum>
  <w:abstractNum w:abstractNumId="2" w15:restartNumberingAfterBreak="0">
    <w:nsid w:val="535A79F4"/>
    <w:multiLevelType w:val="multilevel"/>
    <w:tmpl w:val="80189E92"/>
    <w:lvl w:ilvl="0">
      <w:start w:val="4"/>
      <w:numFmt w:val="decimal"/>
      <w:lvlText w:val="%1"/>
      <w:lvlJc w:val="left"/>
      <w:pPr>
        <w:ind w:left="405" w:hanging="614"/>
        <w:jc w:val="left"/>
      </w:pPr>
      <w:rPr>
        <w:rFonts w:hint="default"/>
        <w:lang w:val="es-ES" w:eastAsia="es-ES" w:bidi="es-ES"/>
      </w:rPr>
    </w:lvl>
    <w:lvl w:ilvl="1">
      <w:start w:val="2"/>
      <w:numFmt w:val="decimal"/>
      <w:lvlText w:val="%1.%2"/>
      <w:lvlJc w:val="left"/>
      <w:pPr>
        <w:ind w:left="405" w:hanging="614"/>
        <w:jc w:val="left"/>
      </w:pPr>
      <w:rPr>
        <w:rFonts w:hint="default"/>
        <w:lang w:val="es-ES" w:eastAsia="es-ES" w:bidi="es-ES"/>
      </w:rPr>
    </w:lvl>
    <w:lvl w:ilvl="2">
      <w:start w:val="1"/>
      <w:numFmt w:val="decimal"/>
      <w:lvlText w:val="%1.%2.%3."/>
      <w:lvlJc w:val="left"/>
      <w:pPr>
        <w:ind w:left="405" w:hanging="614"/>
        <w:jc w:val="left"/>
      </w:pPr>
      <w:rPr>
        <w:rFonts w:hint="default"/>
        <w:spacing w:val="-3"/>
        <w:w w:val="96"/>
        <w:u w:val="single" w:color="000000"/>
        <w:lang w:val="es-ES" w:eastAsia="es-ES" w:bidi="es-ES"/>
      </w:rPr>
    </w:lvl>
    <w:lvl w:ilvl="3">
      <w:numFmt w:val="bullet"/>
      <w:lvlText w:val="•"/>
      <w:lvlJc w:val="left"/>
      <w:pPr>
        <w:ind w:left="3262" w:hanging="614"/>
      </w:pPr>
      <w:rPr>
        <w:rFonts w:hint="default"/>
        <w:lang w:val="es-ES" w:eastAsia="es-ES" w:bidi="es-ES"/>
      </w:rPr>
    </w:lvl>
    <w:lvl w:ilvl="4">
      <w:numFmt w:val="bullet"/>
      <w:lvlText w:val="•"/>
      <w:lvlJc w:val="left"/>
      <w:pPr>
        <w:ind w:left="4216" w:hanging="614"/>
      </w:pPr>
      <w:rPr>
        <w:rFonts w:hint="default"/>
        <w:lang w:val="es-ES" w:eastAsia="es-ES" w:bidi="es-ES"/>
      </w:rPr>
    </w:lvl>
    <w:lvl w:ilvl="5">
      <w:numFmt w:val="bullet"/>
      <w:lvlText w:val="•"/>
      <w:lvlJc w:val="left"/>
      <w:pPr>
        <w:ind w:left="5170" w:hanging="614"/>
      </w:pPr>
      <w:rPr>
        <w:rFonts w:hint="default"/>
        <w:lang w:val="es-ES" w:eastAsia="es-ES" w:bidi="es-ES"/>
      </w:rPr>
    </w:lvl>
    <w:lvl w:ilvl="6">
      <w:numFmt w:val="bullet"/>
      <w:lvlText w:val="•"/>
      <w:lvlJc w:val="left"/>
      <w:pPr>
        <w:ind w:left="6124" w:hanging="614"/>
      </w:pPr>
      <w:rPr>
        <w:rFonts w:hint="default"/>
        <w:lang w:val="es-ES" w:eastAsia="es-ES" w:bidi="es-ES"/>
      </w:rPr>
    </w:lvl>
    <w:lvl w:ilvl="7">
      <w:numFmt w:val="bullet"/>
      <w:lvlText w:val="•"/>
      <w:lvlJc w:val="left"/>
      <w:pPr>
        <w:ind w:left="7078" w:hanging="614"/>
      </w:pPr>
      <w:rPr>
        <w:rFonts w:hint="default"/>
        <w:lang w:val="es-ES" w:eastAsia="es-ES" w:bidi="es-ES"/>
      </w:rPr>
    </w:lvl>
    <w:lvl w:ilvl="8">
      <w:numFmt w:val="bullet"/>
      <w:lvlText w:val="•"/>
      <w:lvlJc w:val="left"/>
      <w:pPr>
        <w:ind w:left="8032" w:hanging="614"/>
      </w:pPr>
      <w:rPr>
        <w:rFonts w:hint="default"/>
        <w:lang w:val="es-ES" w:eastAsia="es-ES" w:bidi="es-ES"/>
      </w:rPr>
    </w:lvl>
  </w:abstractNum>
  <w:abstractNum w:abstractNumId="3" w15:restartNumberingAfterBreak="0">
    <w:nsid w:val="732C3350"/>
    <w:multiLevelType w:val="multilevel"/>
    <w:tmpl w:val="B5982864"/>
    <w:lvl w:ilvl="0">
      <w:start w:val="1"/>
      <w:numFmt w:val="decimal"/>
      <w:lvlText w:val="%1."/>
      <w:lvlJc w:val="left"/>
      <w:pPr>
        <w:ind w:left="335" w:hanging="214"/>
        <w:jc w:val="left"/>
      </w:pPr>
      <w:rPr>
        <w:rFonts w:ascii="Lucida Sans" w:eastAsia="Lucida Sans" w:hAnsi="Lucida Sans" w:cs="Lucida Sans" w:hint="default"/>
        <w:spacing w:val="-1"/>
        <w:w w:val="94"/>
        <w:sz w:val="22"/>
        <w:szCs w:val="22"/>
        <w:lang w:val="es-ES" w:eastAsia="es-ES" w:bidi="es-ES"/>
      </w:rPr>
    </w:lvl>
    <w:lvl w:ilvl="1">
      <w:start w:val="1"/>
      <w:numFmt w:val="decimal"/>
      <w:lvlText w:val="%1.%2."/>
      <w:lvlJc w:val="left"/>
      <w:pPr>
        <w:ind w:left="551" w:hanging="430"/>
        <w:jc w:val="left"/>
      </w:pPr>
      <w:rPr>
        <w:rFonts w:ascii="Lucida Sans" w:eastAsia="Lucida Sans" w:hAnsi="Lucida Sans" w:cs="Lucida Sans" w:hint="default"/>
        <w:spacing w:val="-1"/>
        <w:w w:val="94"/>
        <w:sz w:val="22"/>
        <w:szCs w:val="22"/>
        <w:lang w:val="es-ES" w:eastAsia="es-ES" w:bidi="es-ES"/>
      </w:rPr>
    </w:lvl>
    <w:lvl w:ilvl="2">
      <w:numFmt w:val="bullet"/>
      <w:lvlText w:val=""/>
      <w:lvlJc w:val="left"/>
      <w:pPr>
        <w:ind w:left="1538" w:hanging="1056"/>
      </w:pPr>
      <w:rPr>
        <w:rFonts w:hint="default"/>
        <w:w w:val="100"/>
        <w:lang w:val="es-ES" w:eastAsia="es-ES" w:bidi="es-ES"/>
      </w:rPr>
    </w:lvl>
    <w:lvl w:ilvl="3">
      <w:numFmt w:val="bullet"/>
      <w:lvlText w:val="•"/>
      <w:lvlJc w:val="left"/>
      <w:pPr>
        <w:ind w:left="1540" w:hanging="1056"/>
      </w:pPr>
      <w:rPr>
        <w:rFonts w:hint="default"/>
        <w:lang w:val="es-ES" w:eastAsia="es-ES" w:bidi="es-ES"/>
      </w:rPr>
    </w:lvl>
    <w:lvl w:ilvl="4">
      <w:numFmt w:val="bullet"/>
      <w:lvlText w:val="•"/>
      <w:lvlJc w:val="left"/>
      <w:pPr>
        <w:ind w:left="2740" w:hanging="1056"/>
      </w:pPr>
      <w:rPr>
        <w:rFonts w:hint="default"/>
        <w:lang w:val="es-ES" w:eastAsia="es-ES" w:bidi="es-ES"/>
      </w:rPr>
    </w:lvl>
    <w:lvl w:ilvl="5">
      <w:numFmt w:val="bullet"/>
      <w:lvlText w:val="•"/>
      <w:lvlJc w:val="left"/>
      <w:pPr>
        <w:ind w:left="3940" w:hanging="1056"/>
      </w:pPr>
      <w:rPr>
        <w:rFonts w:hint="default"/>
        <w:lang w:val="es-ES" w:eastAsia="es-ES" w:bidi="es-ES"/>
      </w:rPr>
    </w:lvl>
    <w:lvl w:ilvl="6">
      <w:numFmt w:val="bullet"/>
      <w:lvlText w:val="•"/>
      <w:lvlJc w:val="left"/>
      <w:pPr>
        <w:ind w:left="5140" w:hanging="1056"/>
      </w:pPr>
      <w:rPr>
        <w:rFonts w:hint="default"/>
        <w:lang w:val="es-ES" w:eastAsia="es-ES" w:bidi="es-ES"/>
      </w:rPr>
    </w:lvl>
    <w:lvl w:ilvl="7">
      <w:numFmt w:val="bullet"/>
      <w:lvlText w:val="•"/>
      <w:lvlJc w:val="left"/>
      <w:pPr>
        <w:ind w:left="6340" w:hanging="1056"/>
      </w:pPr>
      <w:rPr>
        <w:rFonts w:hint="default"/>
        <w:lang w:val="es-ES" w:eastAsia="es-ES" w:bidi="es-ES"/>
      </w:rPr>
    </w:lvl>
    <w:lvl w:ilvl="8">
      <w:numFmt w:val="bullet"/>
      <w:lvlText w:val="•"/>
      <w:lvlJc w:val="left"/>
      <w:pPr>
        <w:ind w:left="7540" w:hanging="1056"/>
      </w:pPr>
      <w:rPr>
        <w:rFonts w:hint="default"/>
        <w:lang w:val="es-ES" w:eastAsia="es-ES" w:bidi="es-E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2E36CE"/>
    <w:rsid w:val="002E36CE"/>
    <w:rsid w:val="00440300"/>
    <w:rsid w:val="006D2303"/>
    <w:rsid w:val="00A975B5"/>
    <w:rsid w:val="00E845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D11D"/>
  <w15:docId w15:val="{16160748-4891-4D63-BFB1-420103D69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eastAsia="es-ES" w:bidi="es-ES"/>
    </w:rPr>
  </w:style>
  <w:style w:type="paragraph" w:styleId="Ttulo1">
    <w:name w:val="heading 1"/>
    <w:basedOn w:val="Normal"/>
    <w:uiPriority w:val="9"/>
    <w:qFormat/>
    <w:pPr>
      <w:spacing w:before="159"/>
      <w:ind w:left="405" w:hanging="613"/>
      <w:outlineLvl w:val="0"/>
    </w:pPr>
    <w:rPr>
      <w:i/>
      <w:sz w:val="23"/>
      <w:szCs w:val="23"/>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551" w:hanging="42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3186</Words>
  <Characters>17525</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Contingut de la Memòria abreujada</vt:lpstr>
    </vt:vector>
  </TitlesOfParts>
  <Company/>
  <LinksUpToDate>false</LinksUpToDate>
  <CharactersWithSpaces>20670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Contingut de la Memòria abreujada</dc:title>
  <dc:subject>Contingut de la Memòria abreujada</dc:subject>
  <dc:creator>CNTCCM</dc:creator>
  <cp:keywords>memòria, DGDEJ, fundacions, abreujada, Dret i Entitats Jurídiques, pla comptable anual</cp:keywords>
  <cp:lastModifiedBy>Pilar del Rey</cp:lastModifiedBy>
  <cp:revision>4</cp:revision>
  <dcterms:created xsi:type="dcterms:W3CDTF">2019-10-09T11:19:00Z</dcterms:created>
  <dcterms:modified xsi:type="dcterms:W3CDTF">2019-10-16T14:59:00Z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Microsoft® Word 2016</vt:lpwstr>
  </property>
  <property fmtid="{D5CDD505-2E9C-101B-9397-08002B2CF9AE}" pid="4" name="LastSaved">
    <vt:filetime>2019-10-09T00:00:00Z</vt:filetime>
  </property>
</Properties>
</file>